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r w:rsidDel="00000000" w:rsidR="00000000" w:rsidRPr="00000000">
        <w:rPr>
          <w:rtl w:val="0"/>
        </w:rPr>
      </w:r>
    </w:p>
    <w:p w:rsidR="00000000" w:rsidDel="00000000" w:rsidP="00000000" w:rsidRDefault="00000000" w:rsidRPr="00000000" w14:paraId="00000002">
      <w:pPr>
        <w:rPr>
          <w:rFonts w:ascii="Arial" w:cs="Arial" w:eastAsia="Arial" w:hAnsi="Arial"/>
          <w:b w:val="1"/>
        </w:rPr>
      </w:pPr>
      <w:r w:rsidDel="00000000" w:rsidR="00000000" w:rsidRPr="00000000">
        <w:rPr>
          <w:rFonts w:ascii="Arial" w:cs="Arial" w:eastAsia="Arial" w:hAnsi="Arial"/>
          <w:b w:val="1"/>
          <w:rtl w:val="0"/>
        </w:rPr>
        <w:t xml:space="preserve">Policy Statement:</w:t>
      </w:r>
    </w:p>
    <w:p w:rsidR="00000000" w:rsidDel="00000000" w:rsidP="00000000" w:rsidRDefault="00000000" w:rsidRPr="00000000" w14:paraId="00000003">
      <w:pPr>
        <w:rPr>
          <w:rFonts w:ascii="Arial" w:cs="Arial" w:eastAsia="Arial" w:hAnsi="Arial"/>
          <w:b w:val="1"/>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Division of Guardianship maintains an electronic file for each individual under guardianship served by the Guardianship program. The electronic file is established in the Kentucky Guardianship Fiduciary Information System (KYGFIS). Original legal documents are maintained in hard copy, letter-sized files in a locked and secured location.</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rPr>
          <w:rFonts w:ascii="Arial" w:cs="Arial" w:eastAsia="Arial" w:hAnsi="Arial"/>
          <w:b w:val="1"/>
        </w:rPr>
      </w:pPr>
      <w:r w:rsidDel="00000000" w:rsidR="00000000" w:rsidRPr="00000000">
        <w:rPr>
          <w:rFonts w:ascii="Arial" w:cs="Arial" w:eastAsia="Arial" w:hAnsi="Arial"/>
          <w:b w:val="1"/>
          <w:rtl w:val="0"/>
        </w:rPr>
        <w:t xml:space="preserve">Procedure:</w:t>
      </w:r>
    </w:p>
    <w:p w:rsidR="00000000" w:rsidDel="00000000" w:rsidP="00000000" w:rsidRDefault="00000000" w:rsidRPr="00000000" w14:paraId="00000007">
      <w:pPr>
        <w:rPr>
          <w:rFonts w:ascii="Arial" w:cs="Arial" w:eastAsia="Arial" w:hAnsi="Arial"/>
          <w:b w:val="1"/>
        </w:rPr>
      </w:pPr>
      <w:r w:rsidDel="00000000" w:rsidR="00000000" w:rsidRPr="00000000">
        <w:rPr>
          <w:rtl w:val="0"/>
        </w:rPr>
      </w:r>
    </w:p>
    <w:p w:rsidR="00000000" w:rsidDel="00000000" w:rsidP="00000000" w:rsidRDefault="00000000" w:rsidRPr="00000000" w14:paraId="00000008">
      <w:pPr>
        <w:numPr>
          <w:ilvl w:val="0"/>
          <w:numId w:val="1"/>
        </w:numPr>
        <w:ind w:left="504" w:hanging="504"/>
        <w:rPr>
          <w:rFonts w:ascii="Arial" w:cs="Arial" w:eastAsia="Arial" w:hAnsi="Arial"/>
        </w:rPr>
      </w:pPr>
      <w:r w:rsidDel="00000000" w:rsidR="00000000" w:rsidRPr="00000000">
        <w:rPr>
          <w:rFonts w:ascii="Arial" w:cs="Arial" w:eastAsia="Arial" w:hAnsi="Arial"/>
          <w:rtl w:val="0"/>
        </w:rPr>
        <w:t xml:space="preserve">The Guardianship Field Services Office Supervisor (GFSOS), or designee, shall establish and maintain both an electronic and a paper file for each individual under guardianship served by the Guardianship program.</w:t>
      </w:r>
    </w:p>
    <w:p w:rsidR="00000000" w:rsidDel="00000000" w:rsidP="00000000" w:rsidRDefault="00000000" w:rsidRPr="00000000" w14:paraId="00000009">
      <w:pPr>
        <w:numPr>
          <w:ilvl w:val="0"/>
          <w:numId w:val="1"/>
        </w:numPr>
        <w:ind w:left="504" w:hanging="504"/>
        <w:rPr>
          <w:rFonts w:ascii="Arial" w:cs="Arial" w:eastAsia="Arial" w:hAnsi="Arial"/>
        </w:rPr>
      </w:pPr>
      <w:r w:rsidDel="00000000" w:rsidR="00000000" w:rsidRPr="00000000">
        <w:rPr>
          <w:rFonts w:ascii="Arial" w:cs="Arial" w:eastAsia="Arial" w:hAnsi="Arial"/>
          <w:rtl w:val="0"/>
        </w:rPr>
        <w:t xml:space="preserve">The GFSOS or designee creates or enters information for the individual under guardianship in a case file within five (5) working days of receipt.  The GFSOS or designee uses discretion in determining when to file hard copies that have been scanned into KYGFIS. </w:t>
      </w:r>
    </w:p>
    <w:p w:rsidR="00000000" w:rsidDel="00000000" w:rsidP="00000000" w:rsidRDefault="00000000" w:rsidRPr="00000000" w14:paraId="0000000A">
      <w:pPr>
        <w:numPr>
          <w:ilvl w:val="0"/>
          <w:numId w:val="1"/>
        </w:numPr>
        <w:ind w:left="504" w:hanging="504"/>
        <w:rPr>
          <w:rFonts w:ascii="Arial" w:cs="Arial" w:eastAsia="Arial" w:hAnsi="Arial"/>
        </w:rPr>
      </w:pPr>
      <w:r w:rsidDel="00000000" w:rsidR="00000000" w:rsidRPr="00000000">
        <w:rPr>
          <w:rFonts w:ascii="Arial" w:cs="Arial" w:eastAsia="Arial" w:hAnsi="Arial"/>
          <w:rtl w:val="0"/>
        </w:rPr>
        <w:t xml:space="preserve">The paper file shall contain the following:</w:t>
      </w:r>
    </w:p>
    <w:p w:rsidR="00000000" w:rsidDel="00000000" w:rsidP="00000000" w:rsidRDefault="00000000" w:rsidRPr="00000000" w14:paraId="0000000B">
      <w:pPr>
        <w:numPr>
          <w:ilvl w:val="1"/>
          <w:numId w:val="1"/>
        </w:numPr>
        <w:ind w:left="1260" w:hanging="720"/>
        <w:rPr>
          <w:rFonts w:ascii="Arial" w:cs="Arial" w:eastAsia="Arial" w:hAnsi="Arial"/>
        </w:rPr>
      </w:pPr>
      <w:r w:rsidDel="00000000" w:rsidR="00000000" w:rsidRPr="00000000">
        <w:rPr>
          <w:rFonts w:ascii="Arial" w:cs="Arial" w:eastAsia="Arial" w:hAnsi="Arial"/>
          <w:rtl w:val="0"/>
        </w:rPr>
        <w:t xml:space="preserve">Certified copy of the</w:t>
      </w: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rtl w:val="0"/>
        </w:rPr>
        <w:t xml:space="preserve">Guardianship Appointment </w:t>
      </w:r>
    </w:p>
    <w:p w:rsidR="00000000" w:rsidDel="00000000" w:rsidP="00000000" w:rsidRDefault="00000000" w:rsidRPr="00000000" w14:paraId="0000000C">
      <w:pPr>
        <w:ind w:firstLine="540"/>
        <w:rPr>
          <w:rFonts w:ascii="Arial" w:cs="Arial" w:eastAsia="Arial" w:hAnsi="Arial"/>
        </w:rPr>
      </w:pPr>
      <w:r w:rsidDel="00000000" w:rsidR="00000000" w:rsidRPr="00000000">
        <w:rPr>
          <w:rFonts w:ascii="Arial" w:cs="Arial" w:eastAsia="Arial" w:hAnsi="Arial"/>
          <w:rtl w:val="0"/>
        </w:rPr>
        <w:t xml:space="preserve">(b)    Disability Judgment/Adjudication </w:t>
      </w:r>
    </w:p>
    <w:p w:rsidR="00000000" w:rsidDel="00000000" w:rsidP="00000000" w:rsidRDefault="00000000" w:rsidRPr="00000000" w14:paraId="0000000D">
      <w:pPr>
        <w:ind w:left="540" w:firstLine="0"/>
        <w:rPr>
          <w:rFonts w:ascii="Arial" w:cs="Arial" w:eastAsia="Arial" w:hAnsi="Arial"/>
        </w:rPr>
      </w:pPr>
      <w:r w:rsidDel="00000000" w:rsidR="00000000" w:rsidRPr="00000000">
        <w:rPr>
          <w:rFonts w:ascii="Arial" w:cs="Arial" w:eastAsia="Arial" w:hAnsi="Arial"/>
          <w:rtl w:val="0"/>
        </w:rPr>
        <w:t xml:space="preserve">(c)    Other Legal Documents </w:t>
      </w:r>
    </w:p>
    <w:p w:rsidR="00000000" w:rsidDel="00000000" w:rsidP="00000000" w:rsidRDefault="00000000" w:rsidRPr="00000000" w14:paraId="0000000E">
      <w:pPr>
        <w:ind w:left="540" w:firstLine="0"/>
        <w:rPr>
          <w:rFonts w:ascii="Arial" w:cs="Arial" w:eastAsia="Arial" w:hAnsi="Arial"/>
          <w:strike w:val="1"/>
        </w:rPr>
      </w:pPr>
      <w:r w:rsidDel="00000000" w:rsidR="00000000" w:rsidRPr="00000000">
        <w:rPr>
          <w:rFonts w:ascii="Arial" w:cs="Arial" w:eastAsia="Arial" w:hAnsi="Arial"/>
          <w:rtl w:val="0"/>
        </w:rPr>
        <w:t xml:space="preserve">(d)    Health Insurance Cards: Medicaid, Medicare, Medical</w:t>
      </w:r>
      <w:r w:rsidDel="00000000" w:rsidR="00000000" w:rsidRPr="00000000">
        <w:rPr>
          <w:rtl w:val="0"/>
        </w:rPr>
      </w:r>
    </w:p>
    <w:p w:rsidR="00000000" w:rsidDel="00000000" w:rsidP="00000000" w:rsidRDefault="00000000" w:rsidRPr="00000000" w14:paraId="0000000F">
      <w:pPr>
        <w:ind w:left="1080" w:hanging="540"/>
        <w:rPr>
          <w:rFonts w:ascii="Arial" w:cs="Arial" w:eastAsia="Arial" w:hAnsi="Arial"/>
        </w:rPr>
      </w:pPr>
      <w:r w:rsidDel="00000000" w:rsidR="00000000" w:rsidRPr="00000000">
        <w:rPr>
          <w:rFonts w:ascii="Arial" w:cs="Arial" w:eastAsia="Arial" w:hAnsi="Arial"/>
          <w:rtl w:val="0"/>
        </w:rPr>
        <w:t xml:space="preserve">(e)    Secondary Health Insurance</w:t>
      </w:r>
    </w:p>
    <w:p w:rsidR="00000000" w:rsidDel="00000000" w:rsidP="00000000" w:rsidRDefault="00000000" w:rsidRPr="00000000" w14:paraId="00000010">
      <w:pPr>
        <w:ind w:left="1080" w:hanging="540"/>
        <w:rPr>
          <w:rFonts w:ascii="Arial" w:cs="Arial" w:eastAsia="Arial" w:hAnsi="Arial"/>
        </w:rPr>
      </w:pPr>
      <w:r w:rsidDel="00000000" w:rsidR="00000000" w:rsidRPr="00000000">
        <w:rPr>
          <w:rFonts w:ascii="Arial" w:cs="Arial" w:eastAsia="Arial" w:hAnsi="Arial"/>
          <w:rtl w:val="0"/>
        </w:rPr>
        <w:t xml:space="preserve">(f)     Contact information</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04" w:right="0" w:hanging="50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electronic file shall be established and maintained in a complete, accurate and ongoing manner, so that information may be located expeditiously by authorized personnel, on a need to know basis, for ongoing assessment, continuing case management, case transfers, internal case reviews, open records requests, and for meeting the needs of individuals.</w:t>
      </w:r>
    </w:p>
    <w:p w:rsidR="00000000" w:rsidDel="00000000" w:rsidP="00000000" w:rsidRDefault="00000000" w:rsidRPr="00000000" w14:paraId="00000012">
      <w:pPr>
        <w:tabs>
          <w:tab w:val="left" w:pos="1080"/>
        </w:tabs>
        <w:ind w:left="540" w:firstLine="0"/>
        <w:rPr>
          <w:rFonts w:ascii="Arial" w:cs="Arial" w:eastAsia="Arial" w:hAnsi="Arial"/>
          <w:u w:val="single"/>
        </w:rPr>
      </w:pPr>
      <w:r w:rsidDel="00000000" w:rsidR="00000000" w:rsidRPr="00000000">
        <w:rPr>
          <w:rFonts w:ascii="Arial" w:cs="Arial" w:eastAsia="Arial" w:hAnsi="Arial"/>
          <w:rtl w:val="0"/>
        </w:rPr>
        <w:t xml:space="preserve">Recording of Events (case notes)</w:t>
      </w:r>
      <w:r w:rsidDel="00000000" w:rsidR="00000000" w:rsidRPr="00000000">
        <w:rPr>
          <w:rtl w:val="0"/>
        </w:rPr>
      </w:r>
    </w:p>
    <w:p w:rsidR="00000000" w:rsidDel="00000000" w:rsidP="00000000" w:rsidRDefault="00000000" w:rsidRPr="00000000" w14:paraId="00000013">
      <w:pPr>
        <w:ind w:left="900" w:hanging="360"/>
        <w:rPr>
          <w:rFonts w:ascii="Arial" w:cs="Arial" w:eastAsia="Arial" w:hAnsi="Arial"/>
        </w:rPr>
      </w:pPr>
      <w:r w:rsidDel="00000000" w:rsidR="00000000" w:rsidRPr="00000000">
        <w:rPr>
          <w:rFonts w:ascii="Arial" w:cs="Arial" w:eastAsia="Arial" w:hAnsi="Arial"/>
          <w:rtl w:val="0"/>
        </w:rPr>
        <w:t xml:space="preserve">(a) Events should be entered on an on-going basis and shall be thorough and accurate.  Events should be entered both timely and as per policy, and may include the following:  </w:t>
      </w:r>
    </w:p>
    <w:p w:rsidR="00000000" w:rsidDel="00000000" w:rsidP="00000000" w:rsidRDefault="00000000" w:rsidRPr="00000000" w14:paraId="00000014">
      <w:pPr>
        <w:ind w:left="1350" w:firstLine="0"/>
        <w:rPr>
          <w:rFonts w:ascii="Arial" w:cs="Arial" w:eastAsia="Arial" w:hAnsi="Arial"/>
        </w:rPr>
      </w:pPr>
      <w:r w:rsidDel="00000000" w:rsidR="00000000" w:rsidRPr="00000000">
        <w:rPr>
          <w:rFonts w:ascii="Arial" w:cs="Arial" w:eastAsia="Arial" w:hAnsi="Arial"/>
          <w:rtl w:val="0"/>
        </w:rPr>
        <w:t xml:space="preserve">(i)   Contacts made or received, be it collateral or directly with the individual </w:t>
      </w:r>
    </w:p>
    <w:p w:rsidR="00000000" w:rsidDel="00000000" w:rsidP="00000000" w:rsidRDefault="00000000" w:rsidRPr="00000000" w14:paraId="00000015">
      <w:pPr>
        <w:ind w:left="1350" w:firstLine="0"/>
        <w:rPr>
          <w:rFonts w:ascii="Arial" w:cs="Arial" w:eastAsia="Arial" w:hAnsi="Arial"/>
        </w:rPr>
      </w:pPr>
      <w:r w:rsidDel="00000000" w:rsidR="00000000" w:rsidRPr="00000000">
        <w:rPr>
          <w:rFonts w:ascii="Arial" w:cs="Arial" w:eastAsia="Arial" w:hAnsi="Arial"/>
          <w:rtl w:val="0"/>
        </w:rPr>
        <w:t xml:space="preserve">(ii)   Face to face contacts, be it collateral or directly with the individual </w:t>
      </w:r>
    </w:p>
    <w:p w:rsidR="00000000" w:rsidDel="00000000" w:rsidP="00000000" w:rsidRDefault="00000000" w:rsidRPr="00000000" w14:paraId="00000016">
      <w:pPr>
        <w:ind w:left="1350" w:firstLine="0"/>
        <w:rPr>
          <w:rFonts w:ascii="Arial" w:cs="Arial" w:eastAsia="Arial" w:hAnsi="Arial"/>
        </w:rPr>
      </w:pPr>
      <w:r w:rsidDel="00000000" w:rsidR="00000000" w:rsidRPr="00000000">
        <w:rPr>
          <w:rFonts w:ascii="Arial" w:cs="Arial" w:eastAsia="Arial" w:hAnsi="Arial"/>
          <w:rtl w:val="0"/>
        </w:rPr>
        <w:t xml:space="preserve">(iii)  Consents for services or treatment</w:t>
      </w:r>
    </w:p>
    <w:p w:rsidR="00000000" w:rsidDel="00000000" w:rsidP="00000000" w:rsidRDefault="00000000" w:rsidRPr="00000000" w14:paraId="00000017">
      <w:pPr>
        <w:ind w:left="1350" w:firstLine="0"/>
        <w:rPr>
          <w:rFonts w:ascii="Arial" w:cs="Arial" w:eastAsia="Arial" w:hAnsi="Arial"/>
        </w:rPr>
      </w:pPr>
      <w:r w:rsidDel="00000000" w:rsidR="00000000" w:rsidRPr="00000000">
        <w:rPr>
          <w:rFonts w:ascii="Arial" w:cs="Arial" w:eastAsia="Arial" w:hAnsi="Arial"/>
          <w:rtl w:val="0"/>
        </w:rPr>
        <w:t xml:space="preserve">(iv)  Court matters and hearing attendance</w:t>
      </w:r>
    </w:p>
    <w:p w:rsidR="00000000" w:rsidDel="00000000" w:rsidP="00000000" w:rsidRDefault="00000000" w:rsidRPr="00000000" w14:paraId="00000018">
      <w:pPr>
        <w:ind w:left="1350" w:firstLine="0"/>
        <w:rPr>
          <w:rFonts w:ascii="Arial" w:cs="Arial" w:eastAsia="Arial" w:hAnsi="Arial"/>
        </w:rPr>
      </w:pPr>
      <w:r w:rsidDel="00000000" w:rsidR="00000000" w:rsidRPr="00000000">
        <w:rPr>
          <w:rFonts w:ascii="Arial" w:cs="Arial" w:eastAsia="Arial" w:hAnsi="Arial"/>
          <w:rtl w:val="0"/>
        </w:rPr>
        <w:t xml:space="preserve">(v)   Appointment paperwork and [</w:t>
      </w:r>
      <w:r w:rsidDel="00000000" w:rsidR="00000000" w:rsidRPr="00000000">
        <w:rPr>
          <w:rFonts w:ascii="Arial" w:cs="Arial" w:eastAsia="Arial" w:hAnsi="Arial"/>
          <w:strike w:val="1"/>
          <w:rtl w:val="0"/>
        </w:rPr>
        <w:t xml:space="preserve">any/</w:t>
      </w:r>
      <w:r w:rsidDel="00000000" w:rsidR="00000000" w:rsidRPr="00000000">
        <w:rPr>
          <w:rFonts w:ascii="Arial" w:cs="Arial" w:eastAsia="Arial" w:hAnsi="Arial"/>
          <w:rtl w:val="0"/>
        </w:rPr>
        <w:t xml:space="preserve">]all legal matters</w:t>
      </w:r>
    </w:p>
    <w:p w:rsidR="00000000" w:rsidDel="00000000" w:rsidP="00000000" w:rsidRDefault="00000000" w:rsidRPr="00000000" w14:paraId="00000019">
      <w:pPr>
        <w:ind w:left="1350" w:firstLine="0"/>
        <w:rPr>
          <w:rFonts w:ascii="Arial" w:cs="Arial" w:eastAsia="Arial" w:hAnsi="Arial"/>
        </w:rPr>
      </w:pPr>
      <w:r w:rsidDel="00000000" w:rsidR="00000000" w:rsidRPr="00000000">
        <w:rPr>
          <w:rFonts w:ascii="Arial" w:cs="Arial" w:eastAsia="Arial" w:hAnsi="Arial"/>
          <w:rtl w:val="0"/>
        </w:rPr>
        <w:t xml:space="preserve">(vi)  Medical, mental health and psychological records</w:t>
      </w:r>
    </w:p>
    <w:p w:rsidR="00000000" w:rsidDel="00000000" w:rsidP="00000000" w:rsidRDefault="00000000" w:rsidRPr="00000000" w14:paraId="0000001A">
      <w:pPr>
        <w:ind w:left="1350" w:firstLine="0"/>
        <w:rPr>
          <w:rFonts w:ascii="Arial" w:cs="Arial" w:eastAsia="Arial" w:hAnsi="Arial"/>
        </w:rPr>
      </w:pPr>
      <w:r w:rsidDel="00000000" w:rsidR="00000000" w:rsidRPr="00000000">
        <w:rPr>
          <w:rFonts w:ascii="Arial" w:cs="Arial" w:eastAsia="Arial" w:hAnsi="Arial"/>
          <w:rtl w:val="0"/>
        </w:rPr>
        <w:t xml:space="preserve">(vii)  Allegations of abuse, neglect, exploitation</w:t>
      </w:r>
    </w:p>
    <w:p w:rsidR="00000000" w:rsidDel="00000000" w:rsidP="00000000" w:rsidRDefault="00000000" w:rsidRPr="00000000" w14:paraId="0000001B">
      <w:pPr>
        <w:ind w:left="1350" w:firstLine="0"/>
        <w:rPr>
          <w:rFonts w:ascii="Arial" w:cs="Arial" w:eastAsia="Arial" w:hAnsi="Arial"/>
        </w:rPr>
      </w:pPr>
      <w:r w:rsidDel="00000000" w:rsidR="00000000" w:rsidRPr="00000000">
        <w:rPr>
          <w:rFonts w:ascii="Arial" w:cs="Arial" w:eastAsia="Arial" w:hAnsi="Arial"/>
          <w:rtl w:val="0"/>
        </w:rPr>
        <w:t xml:space="preserve">(viii) Care plans, risk assessments and rights restrictions</w:t>
      </w:r>
    </w:p>
    <w:p w:rsidR="00000000" w:rsidDel="00000000" w:rsidP="00000000" w:rsidRDefault="00000000" w:rsidRPr="00000000" w14:paraId="0000001C">
      <w:pPr>
        <w:ind w:left="1350" w:firstLine="0"/>
        <w:rPr>
          <w:rFonts w:ascii="Arial" w:cs="Arial" w:eastAsia="Arial" w:hAnsi="Arial"/>
        </w:rPr>
      </w:pPr>
      <w:r w:rsidDel="00000000" w:rsidR="00000000" w:rsidRPr="00000000">
        <w:rPr>
          <w:rFonts w:ascii="Arial" w:cs="Arial" w:eastAsia="Arial" w:hAnsi="Arial"/>
          <w:rtl w:val="0"/>
        </w:rPr>
        <w:t xml:space="preserve">(ix)  Contracts, leased and facility agreements </w:t>
      </w:r>
    </w:p>
    <w:p w:rsidR="00000000" w:rsidDel="00000000" w:rsidP="00000000" w:rsidRDefault="00000000" w:rsidRPr="00000000" w14:paraId="0000001D">
      <w:pPr>
        <w:ind w:left="1350" w:firstLine="0"/>
        <w:rPr>
          <w:rFonts w:ascii="Arial" w:cs="Arial" w:eastAsia="Arial" w:hAnsi="Arial"/>
        </w:rPr>
      </w:pPr>
      <w:r w:rsidDel="00000000" w:rsidR="00000000" w:rsidRPr="00000000">
        <w:rPr>
          <w:rFonts w:ascii="Arial" w:cs="Arial" w:eastAsia="Arial" w:hAnsi="Arial"/>
          <w:rtl w:val="0"/>
        </w:rPr>
        <w:t xml:space="preserve">(x)   Written correspondences, including emails </w:t>
      </w:r>
    </w:p>
    <w:p w:rsidR="00000000" w:rsidDel="00000000" w:rsidP="00000000" w:rsidRDefault="00000000" w:rsidRPr="00000000" w14:paraId="0000001E">
      <w:pPr>
        <w:ind w:left="1350" w:firstLine="0"/>
        <w:rPr>
          <w:rFonts w:ascii="Arial" w:cs="Arial" w:eastAsia="Arial" w:hAnsi="Arial"/>
        </w:rPr>
      </w:pPr>
      <w:r w:rsidDel="00000000" w:rsidR="00000000" w:rsidRPr="00000000">
        <w:rPr>
          <w:rFonts w:ascii="Arial" w:cs="Arial" w:eastAsia="Arial" w:hAnsi="Arial"/>
          <w:rtl w:val="0"/>
        </w:rPr>
        <w:t xml:space="preserve">(xi)  Benefits and Fiduciary Information</w:t>
      </w:r>
    </w:p>
    <w:p w:rsidR="00000000" w:rsidDel="00000000" w:rsidP="00000000" w:rsidRDefault="00000000" w:rsidRPr="00000000" w14:paraId="0000001F">
      <w:pPr>
        <w:ind w:left="1350" w:firstLine="0"/>
        <w:rPr>
          <w:rFonts w:ascii="Arial" w:cs="Arial" w:eastAsia="Arial" w:hAnsi="Arial"/>
        </w:rPr>
      </w:pPr>
      <w:r w:rsidDel="00000000" w:rsidR="00000000" w:rsidRPr="00000000">
        <w:rPr>
          <w:rFonts w:ascii="Arial" w:cs="Arial" w:eastAsia="Arial" w:hAnsi="Arial"/>
          <w:rtl w:val="0"/>
        </w:rPr>
        <w:t xml:space="preserve">(xii) Veteran Information</w:t>
      </w:r>
    </w:p>
    <w:p w:rsidR="00000000" w:rsidDel="00000000" w:rsidP="00000000" w:rsidRDefault="00000000" w:rsidRPr="00000000" w14:paraId="00000020">
      <w:pPr>
        <w:ind w:left="1350" w:firstLine="0"/>
        <w:rPr>
          <w:rFonts w:ascii="Arial" w:cs="Arial" w:eastAsia="Arial" w:hAnsi="Arial"/>
        </w:rPr>
      </w:pPr>
      <w:r w:rsidDel="00000000" w:rsidR="00000000" w:rsidRPr="00000000">
        <w:rPr>
          <w:rFonts w:ascii="Arial" w:cs="Arial" w:eastAsia="Arial" w:hAnsi="Arial"/>
          <w:rtl w:val="0"/>
        </w:rPr>
        <w:t xml:space="preserve">(xiii) Voting Information </w:t>
      </w:r>
    </w:p>
    <w:p w:rsidR="00000000" w:rsidDel="00000000" w:rsidP="00000000" w:rsidRDefault="00000000" w:rsidRPr="00000000" w14:paraId="00000021">
      <w:pPr>
        <w:ind w:left="1350" w:firstLine="0"/>
        <w:rPr>
          <w:rFonts w:ascii="Arial" w:cs="Arial" w:eastAsia="Arial" w:hAnsi="Arial"/>
        </w:rPr>
      </w:pPr>
      <w:r w:rsidDel="00000000" w:rsidR="00000000" w:rsidRPr="00000000">
        <w:rPr>
          <w:rFonts w:ascii="Arial" w:cs="Arial" w:eastAsia="Arial" w:hAnsi="Arial"/>
          <w:rtl w:val="0"/>
        </w:rPr>
        <w:t xml:space="preserve">(xiv) Property</w:t>
      </w:r>
    </w:p>
    <w:p w:rsidR="00000000" w:rsidDel="00000000" w:rsidP="00000000" w:rsidRDefault="00000000" w:rsidRPr="00000000" w14:paraId="00000022">
      <w:pPr>
        <w:ind w:left="1350" w:firstLine="0"/>
        <w:rPr>
          <w:rFonts w:ascii="Arial" w:cs="Arial" w:eastAsia="Arial" w:hAnsi="Arial"/>
        </w:rPr>
      </w:pPr>
      <w:r w:rsidDel="00000000" w:rsidR="00000000" w:rsidRPr="00000000">
        <w:rPr>
          <w:rFonts w:ascii="Arial" w:cs="Arial" w:eastAsia="Arial" w:hAnsi="Arial"/>
          <w:rtl w:val="0"/>
        </w:rPr>
        <w:t xml:space="preserve">(xv)  DNR/end of life</w:t>
      </w:r>
    </w:p>
    <w:p w:rsidR="00000000" w:rsidDel="00000000" w:rsidP="00000000" w:rsidRDefault="00000000" w:rsidRPr="00000000" w14:paraId="00000023">
      <w:pPr>
        <w:ind w:left="1350" w:firstLine="0"/>
        <w:rPr>
          <w:rFonts w:ascii="Arial" w:cs="Arial" w:eastAsia="Arial" w:hAnsi="Arial"/>
        </w:rPr>
      </w:pPr>
      <w:r w:rsidDel="00000000" w:rsidR="00000000" w:rsidRPr="00000000">
        <w:rPr>
          <w:rFonts w:ascii="Arial" w:cs="Arial" w:eastAsia="Arial" w:hAnsi="Arial"/>
          <w:rtl w:val="0"/>
        </w:rPr>
        <w:t xml:space="preserve">(xvi) Burials</w:t>
      </w:r>
    </w:p>
    <w:p w:rsidR="00000000" w:rsidDel="00000000" w:rsidP="00000000" w:rsidRDefault="00000000" w:rsidRPr="00000000" w14:paraId="00000024">
      <w:pPr>
        <w:ind w:left="1350" w:firstLine="0"/>
        <w:rPr>
          <w:rFonts w:ascii="Arial" w:cs="Arial" w:eastAsia="Arial" w:hAnsi="Arial"/>
        </w:rPr>
      </w:pPr>
      <w:r w:rsidDel="00000000" w:rsidR="00000000" w:rsidRPr="00000000">
        <w:rPr>
          <w:rFonts w:ascii="Arial" w:cs="Arial" w:eastAsia="Arial" w:hAnsi="Arial"/>
          <w:rtl w:val="0"/>
        </w:rPr>
        <w:t xml:space="preserve">(xvii) Medical Insurance and Insurance Cards</w:t>
      </w:r>
    </w:p>
    <w:p w:rsidR="00000000" w:rsidDel="00000000" w:rsidP="00000000" w:rsidRDefault="00000000" w:rsidRPr="00000000" w14:paraId="00000025">
      <w:pPr>
        <w:ind w:left="1260" w:hanging="180"/>
        <w:rPr>
          <w:rFonts w:ascii="Arial" w:cs="Arial" w:eastAsia="Arial" w:hAnsi="Arial"/>
        </w:rPr>
      </w:pPr>
      <w:r w:rsidDel="00000000" w:rsidR="00000000" w:rsidRPr="00000000">
        <w:rPr>
          <w:rFonts w:ascii="Arial" w:cs="Arial" w:eastAsia="Arial" w:hAnsi="Arial"/>
          <w:rtl w:val="0"/>
        </w:rPr>
        <w:t xml:space="preserve">(b) Supporting documents shall be scanned and attached to events.</w:t>
      </w:r>
    </w:p>
    <w:p w:rsidR="00000000" w:rsidDel="00000000" w:rsidP="00000000" w:rsidRDefault="00000000" w:rsidRPr="00000000" w14:paraId="00000026">
      <w:pPr>
        <w:ind w:left="540" w:firstLine="0"/>
        <w:rPr>
          <w:rFonts w:ascii="Arial" w:cs="Arial" w:eastAsia="Arial" w:hAnsi="Arial"/>
        </w:rPr>
      </w:pPr>
      <w:r w:rsidDel="00000000" w:rsidR="00000000" w:rsidRPr="00000000">
        <w:rPr>
          <w:rFonts w:ascii="Arial" w:cs="Arial" w:eastAsia="Arial" w:hAnsi="Arial"/>
          <w:rtl w:val="0"/>
        </w:rPr>
        <w:t xml:space="preserve">(6)  Address History</w:t>
      </w:r>
    </w:p>
    <w:p w:rsidR="00000000" w:rsidDel="00000000" w:rsidP="00000000" w:rsidRDefault="00000000" w:rsidRPr="00000000" w14:paraId="00000027">
      <w:pPr>
        <w:ind w:left="1620" w:hanging="360"/>
        <w:rPr>
          <w:rFonts w:ascii="Arial" w:cs="Arial" w:eastAsia="Arial" w:hAnsi="Arial"/>
        </w:rPr>
      </w:pPr>
      <w:r w:rsidDel="00000000" w:rsidR="00000000" w:rsidRPr="00000000">
        <w:rPr>
          <w:rFonts w:ascii="Arial" w:cs="Arial" w:eastAsia="Arial" w:hAnsi="Arial"/>
          <w:rtl w:val="0"/>
        </w:rPr>
        <w:t xml:space="preserve">(a) The GSSW enters changes into KYGFIS the address history within 48 hours of notification of a move for the individual as:</w:t>
      </w:r>
    </w:p>
    <w:p w:rsidR="00000000" w:rsidDel="00000000" w:rsidP="00000000" w:rsidRDefault="00000000" w:rsidRPr="00000000" w14:paraId="00000028">
      <w:pPr>
        <w:ind w:left="2070" w:hanging="360"/>
        <w:rPr>
          <w:rFonts w:ascii="Arial" w:cs="Arial" w:eastAsia="Arial" w:hAnsi="Arial"/>
        </w:rPr>
      </w:pPr>
      <w:r w:rsidDel="00000000" w:rsidR="00000000" w:rsidRPr="00000000">
        <w:rPr>
          <w:rFonts w:ascii="Arial" w:cs="Arial" w:eastAsia="Arial" w:hAnsi="Arial"/>
          <w:rtl w:val="0"/>
        </w:rPr>
        <w:t xml:space="preserve">(i) The physical address with level of care (actual location of the     individual); </w:t>
      </w:r>
    </w:p>
    <w:p w:rsidR="00000000" w:rsidDel="00000000" w:rsidP="00000000" w:rsidRDefault="00000000" w:rsidRPr="00000000" w14:paraId="00000029">
      <w:pPr>
        <w:ind w:left="1710" w:firstLine="0"/>
        <w:rPr>
          <w:rFonts w:ascii="Arial" w:cs="Arial" w:eastAsia="Arial" w:hAnsi="Arial"/>
        </w:rPr>
      </w:pPr>
      <w:r w:rsidDel="00000000" w:rsidR="00000000" w:rsidRPr="00000000">
        <w:rPr>
          <w:rFonts w:ascii="Arial" w:cs="Arial" w:eastAsia="Arial" w:hAnsi="Arial"/>
          <w:rtl w:val="0"/>
        </w:rPr>
        <w:t xml:space="preserve">(ii) The vendor address (provider address); and, </w:t>
      </w:r>
    </w:p>
    <w:p w:rsidR="00000000" w:rsidDel="00000000" w:rsidP="00000000" w:rsidRDefault="00000000" w:rsidRPr="00000000" w14:paraId="0000002A">
      <w:pPr>
        <w:ind w:left="1710" w:firstLine="0"/>
        <w:rPr>
          <w:rFonts w:ascii="Arial" w:cs="Arial" w:eastAsia="Arial" w:hAnsi="Arial"/>
        </w:rPr>
      </w:pPr>
      <w:r w:rsidDel="00000000" w:rsidR="00000000" w:rsidRPr="00000000">
        <w:rPr>
          <w:rFonts w:ascii="Arial" w:cs="Arial" w:eastAsia="Arial" w:hAnsi="Arial"/>
          <w:rtl w:val="0"/>
        </w:rPr>
        <w:t xml:space="preserve">(iii) The day site address, where the individual is located during the day. </w:t>
      </w:r>
    </w:p>
    <w:p w:rsidR="00000000" w:rsidDel="00000000" w:rsidP="00000000" w:rsidRDefault="00000000" w:rsidRPr="00000000" w14:paraId="0000002B">
      <w:pPr>
        <w:ind w:left="540" w:firstLine="0"/>
        <w:rPr>
          <w:rFonts w:ascii="Arial" w:cs="Arial" w:eastAsia="Arial" w:hAnsi="Arial"/>
        </w:rPr>
      </w:pPr>
      <w:r w:rsidDel="00000000" w:rsidR="00000000" w:rsidRPr="00000000">
        <w:rPr>
          <w:rFonts w:ascii="Arial" w:cs="Arial" w:eastAsia="Arial" w:hAnsi="Arial"/>
          <w:rtl w:val="0"/>
        </w:rPr>
        <w:t xml:space="preserve">(7)  Contacts</w:t>
      </w:r>
    </w:p>
    <w:p w:rsidR="00000000" w:rsidDel="00000000" w:rsidP="00000000" w:rsidRDefault="00000000" w:rsidRPr="00000000" w14:paraId="0000002C">
      <w:pPr>
        <w:ind w:left="1620" w:hanging="360"/>
        <w:rPr>
          <w:rFonts w:ascii="Arial" w:cs="Arial" w:eastAsia="Arial" w:hAnsi="Arial"/>
        </w:rPr>
      </w:pPr>
      <w:r w:rsidDel="00000000" w:rsidR="00000000" w:rsidRPr="00000000">
        <w:rPr>
          <w:rFonts w:ascii="Arial" w:cs="Arial" w:eastAsia="Arial" w:hAnsi="Arial"/>
          <w:rtl w:val="0"/>
        </w:rPr>
        <w:t xml:space="preserve">(a) The GSSW will collect and verify the names, addresses, and telephone numbers of the individual under guardianship’s relatives and/or other pertinent contacts;</w:t>
      </w:r>
    </w:p>
    <w:p w:rsidR="00000000" w:rsidDel="00000000" w:rsidP="00000000" w:rsidRDefault="00000000" w:rsidRPr="00000000" w14:paraId="0000002D">
      <w:pPr>
        <w:ind w:left="2160" w:hanging="270"/>
        <w:rPr>
          <w:rFonts w:ascii="Arial" w:cs="Arial" w:eastAsia="Arial" w:hAnsi="Arial"/>
        </w:rPr>
      </w:pPr>
      <w:r w:rsidDel="00000000" w:rsidR="00000000" w:rsidRPr="00000000">
        <w:rPr>
          <w:rFonts w:ascii="Arial" w:cs="Arial" w:eastAsia="Arial" w:hAnsi="Arial"/>
          <w:rtl w:val="0"/>
        </w:rPr>
        <w:t xml:space="preserve">(i) Ensure “Notify, Emergency, Restricted” drop downs are completed.  If “no” is selected an explanation is required in contact notes section.</w:t>
      </w:r>
    </w:p>
    <w:p w:rsidR="00000000" w:rsidDel="00000000" w:rsidP="00000000" w:rsidRDefault="00000000" w:rsidRPr="00000000" w14:paraId="0000002E">
      <w:pPr>
        <w:ind w:left="2160" w:hanging="270"/>
        <w:rPr>
          <w:rFonts w:ascii="Arial" w:cs="Arial" w:eastAsia="Arial" w:hAnsi="Arial"/>
        </w:rPr>
      </w:pPr>
      <w:r w:rsidDel="00000000" w:rsidR="00000000" w:rsidRPr="00000000">
        <w:rPr>
          <w:rFonts w:ascii="Arial" w:cs="Arial" w:eastAsia="Arial" w:hAnsi="Arial"/>
          <w:rtl w:val="0"/>
        </w:rPr>
        <w:t xml:space="preserve">(ii) If no family is known then a family search is requested through central office designee.</w:t>
      </w:r>
    </w:p>
    <w:p w:rsidR="00000000" w:rsidDel="00000000" w:rsidP="00000000" w:rsidRDefault="00000000" w:rsidRPr="00000000" w14:paraId="0000002F">
      <w:pPr>
        <w:ind w:left="1710" w:hanging="450"/>
        <w:rPr>
          <w:rFonts w:ascii="Arial" w:cs="Arial" w:eastAsia="Arial" w:hAnsi="Arial"/>
        </w:rPr>
      </w:pPr>
      <w:r w:rsidDel="00000000" w:rsidR="00000000" w:rsidRPr="00000000">
        <w:rPr>
          <w:rFonts w:ascii="Arial" w:cs="Arial" w:eastAsia="Arial" w:hAnsi="Arial"/>
          <w:rtl w:val="0"/>
        </w:rPr>
        <w:t xml:space="preserve">(b)  Enter into KYGFIS, within 30 days of appointment and review for accuracy, at a minimum of annually thereafter;</w:t>
      </w:r>
    </w:p>
    <w:p w:rsidR="00000000" w:rsidDel="00000000" w:rsidP="00000000" w:rsidRDefault="00000000" w:rsidRPr="00000000" w14:paraId="00000030">
      <w:pPr>
        <w:ind w:left="540" w:firstLine="0"/>
        <w:rPr>
          <w:rFonts w:ascii="Arial" w:cs="Arial" w:eastAsia="Arial" w:hAnsi="Arial"/>
        </w:rPr>
      </w:pPr>
      <w:r w:rsidDel="00000000" w:rsidR="00000000" w:rsidRPr="00000000">
        <w:rPr>
          <w:rFonts w:ascii="Arial" w:cs="Arial" w:eastAsia="Arial" w:hAnsi="Arial"/>
          <w:rtl w:val="0"/>
        </w:rPr>
        <w:t xml:space="preserve">(8) Transactions </w:t>
      </w:r>
    </w:p>
    <w:p w:rsidR="00000000" w:rsidDel="00000000" w:rsidP="00000000" w:rsidRDefault="00000000" w:rsidRPr="00000000" w14:paraId="00000031">
      <w:pPr>
        <w:ind w:left="1710" w:hanging="450"/>
        <w:rPr>
          <w:rFonts w:ascii="Arial" w:cs="Arial" w:eastAsia="Arial" w:hAnsi="Arial"/>
        </w:rPr>
      </w:pPr>
      <w:r w:rsidDel="00000000" w:rsidR="00000000" w:rsidRPr="00000000">
        <w:rPr>
          <w:rFonts w:ascii="Arial" w:cs="Arial" w:eastAsia="Arial" w:hAnsi="Arial"/>
          <w:rtl w:val="0"/>
        </w:rPr>
        <w:t xml:space="preserve">(a)  The GSSW or designee reviews the request to make sure it is for the individual, determines if it is appropriate to pay the bill (See DAIL-GTS-4, Tip Sheet for Field on Appropriate Daily Requests Bills to Pay); and reviews the individual’s account for fund availability.  </w:t>
      </w:r>
    </w:p>
    <w:p w:rsidR="00000000" w:rsidDel="00000000" w:rsidP="00000000" w:rsidRDefault="00000000" w:rsidRPr="00000000" w14:paraId="00000032">
      <w:pPr>
        <w:ind w:left="1260" w:firstLine="0"/>
        <w:rPr>
          <w:rFonts w:ascii="Arial" w:cs="Arial" w:eastAsia="Arial" w:hAnsi="Arial"/>
        </w:rPr>
      </w:pPr>
      <w:r w:rsidDel="00000000" w:rsidR="00000000" w:rsidRPr="00000000">
        <w:rPr>
          <w:rFonts w:ascii="Arial" w:cs="Arial" w:eastAsia="Arial" w:hAnsi="Arial"/>
          <w:rtl w:val="0"/>
        </w:rPr>
        <w:t xml:space="preserve">(b)  If funds are available and the bill is appropriate:</w:t>
      </w:r>
    </w:p>
    <w:p w:rsidR="00000000" w:rsidDel="00000000" w:rsidP="00000000" w:rsidRDefault="00000000" w:rsidRPr="00000000" w14:paraId="00000033">
      <w:pPr>
        <w:ind w:left="1620" w:firstLine="0"/>
        <w:rPr>
          <w:rFonts w:ascii="Arial" w:cs="Arial" w:eastAsia="Arial" w:hAnsi="Arial"/>
        </w:rPr>
      </w:pPr>
      <w:r w:rsidDel="00000000" w:rsidR="00000000" w:rsidRPr="00000000">
        <w:rPr>
          <w:rFonts w:ascii="Arial" w:cs="Arial" w:eastAsia="Arial" w:hAnsi="Arial"/>
          <w:rtl w:val="0"/>
        </w:rPr>
        <w:t xml:space="preserve">(i) Enters a funds request into KYGFIS;</w:t>
      </w:r>
    </w:p>
    <w:p w:rsidR="00000000" w:rsidDel="00000000" w:rsidP="00000000" w:rsidRDefault="00000000" w:rsidRPr="00000000" w14:paraId="00000034">
      <w:pPr>
        <w:ind w:left="1620" w:firstLine="0"/>
        <w:rPr>
          <w:rFonts w:ascii="Arial" w:cs="Arial" w:eastAsia="Arial" w:hAnsi="Arial"/>
        </w:rPr>
      </w:pPr>
      <w:r w:rsidDel="00000000" w:rsidR="00000000" w:rsidRPr="00000000">
        <w:rPr>
          <w:rFonts w:ascii="Arial" w:cs="Arial" w:eastAsia="Arial" w:hAnsi="Arial"/>
          <w:rtl w:val="0"/>
        </w:rPr>
        <w:t xml:space="preserve">(ii) Scans &amp; attach the bill to the funds request; and</w:t>
      </w:r>
    </w:p>
    <w:p w:rsidR="00000000" w:rsidDel="00000000" w:rsidP="00000000" w:rsidRDefault="00000000" w:rsidRPr="00000000" w14:paraId="00000035">
      <w:pPr>
        <w:ind w:left="1620" w:firstLine="0"/>
        <w:rPr>
          <w:rFonts w:ascii="Arial" w:cs="Arial" w:eastAsia="Arial" w:hAnsi="Arial"/>
        </w:rPr>
      </w:pPr>
      <w:r w:rsidDel="00000000" w:rsidR="00000000" w:rsidRPr="00000000">
        <w:rPr>
          <w:rFonts w:ascii="Arial" w:cs="Arial" w:eastAsia="Arial" w:hAnsi="Arial"/>
          <w:rtl w:val="0"/>
        </w:rPr>
        <w:t xml:space="preserve">(iii) Submits the bill for GFSOS approval.</w:t>
      </w:r>
    </w:p>
    <w:p w:rsidR="00000000" w:rsidDel="00000000" w:rsidP="00000000" w:rsidRDefault="00000000" w:rsidRPr="00000000" w14:paraId="00000036">
      <w:pPr>
        <w:ind w:firstLine="540"/>
        <w:rPr>
          <w:rFonts w:ascii="Arial" w:cs="Arial" w:eastAsia="Arial" w:hAnsi="Arial"/>
        </w:rPr>
      </w:pPr>
      <w:r w:rsidDel="00000000" w:rsidR="00000000" w:rsidRPr="00000000">
        <w:rPr>
          <w:rFonts w:ascii="Arial" w:cs="Arial" w:eastAsia="Arial" w:hAnsi="Arial"/>
          <w:rtl w:val="0"/>
        </w:rPr>
        <w:t xml:space="preserve">(9)  Assets: Known assets will be added and updated by Fiduciary Staff</w:t>
      </w:r>
    </w:p>
    <w:p w:rsidR="00000000" w:rsidDel="00000000" w:rsidP="00000000" w:rsidRDefault="00000000" w:rsidRPr="00000000" w14:paraId="00000037">
      <w:pPr>
        <w:ind w:firstLine="540"/>
        <w:rPr>
          <w:rFonts w:ascii="Arial" w:cs="Arial" w:eastAsia="Arial" w:hAnsi="Arial"/>
        </w:rPr>
      </w:pPr>
      <w:r w:rsidDel="00000000" w:rsidR="00000000" w:rsidRPr="00000000">
        <w:rPr>
          <w:rFonts w:ascii="Arial" w:cs="Arial" w:eastAsia="Arial" w:hAnsi="Arial"/>
          <w:rtl w:val="0"/>
        </w:rPr>
        <w:t xml:space="preserve">(10) Tasks: assigned tasked to guardianship field staff.</w:t>
      </w:r>
    </w:p>
    <w:p w:rsidR="00000000" w:rsidDel="00000000" w:rsidP="00000000" w:rsidRDefault="00000000" w:rsidRPr="00000000" w14:paraId="00000038">
      <w:pPr>
        <w:ind w:left="540" w:firstLine="0"/>
        <w:rPr>
          <w:rFonts w:ascii="Arial" w:cs="Arial" w:eastAsia="Arial" w:hAnsi="Arial"/>
        </w:rPr>
      </w:pPr>
      <w:r w:rsidDel="00000000" w:rsidR="00000000" w:rsidRPr="00000000">
        <w:rPr>
          <w:rFonts w:ascii="Arial" w:cs="Arial" w:eastAsia="Arial" w:hAnsi="Arial"/>
          <w:rtl w:val="0"/>
        </w:rPr>
        <w:t xml:space="preserve">(11) Liabilities: Known liabilities will be added and updated by Fiduciary Staff</w:t>
      </w:r>
    </w:p>
    <w:p w:rsidR="00000000" w:rsidDel="00000000" w:rsidP="00000000" w:rsidRDefault="00000000" w:rsidRPr="00000000" w14:paraId="00000039">
      <w:pPr>
        <w:ind w:left="1080" w:hanging="540"/>
        <w:rPr>
          <w:rFonts w:ascii="Arial" w:cs="Arial" w:eastAsia="Arial" w:hAnsi="Arial"/>
        </w:rPr>
      </w:pPr>
      <w:r w:rsidDel="00000000" w:rsidR="00000000" w:rsidRPr="00000000">
        <w:rPr>
          <w:rFonts w:ascii="Arial" w:cs="Arial" w:eastAsia="Arial" w:hAnsi="Arial"/>
          <w:rtl w:val="0"/>
        </w:rPr>
        <w:t xml:space="preserve">(12) Annual Reports:  The GSSW will enter the annual court report per GField 9 Annual Court Report.</w:t>
      </w:r>
    </w:p>
    <w:p w:rsidR="00000000" w:rsidDel="00000000" w:rsidP="00000000" w:rsidRDefault="00000000" w:rsidRPr="00000000" w14:paraId="0000003A">
      <w:pPr>
        <w:ind w:left="540" w:firstLine="0"/>
        <w:rPr>
          <w:rFonts w:ascii="Arial" w:cs="Arial" w:eastAsia="Arial" w:hAnsi="Arial"/>
        </w:rPr>
      </w:pPr>
      <w:r w:rsidDel="00000000" w:rsidR="00000000" w:rsidRPr="00000000">
        <w:rPr>
          <w:rFonts w:ascii="Arial" w:cs="Arial" w:eastAsia="Arial" w:hAnsi="Arial"/>
          <w:rtl w:val="0"/>
        </w:rPr>
        <w:t xml:space="preserve">(13) Diagnosis: </w:t>
      </w:r>
    </w:p>
    <w:p w:rsidR="00000000" w:rsidDel="00000000" w:rsidP="00000000" w:rsidRDefault="00000000" w:rsidRPr="00000000" w14:paraId="0000003B">
      <w:pPr>
        <w:ind w:left="1800" w:hanging="540"/>
        <w:rPr>
          <w:rFonts w:ascii="Arial" w:cs="Arial" w:eastAsia="Arial" w:hAnsi="Arial"/>
        </w:rPr>
      </w:pPr>
      <w:r w:rsidDel="00000000" w:rsidR="00000000" w:rsidRPr="00000000">
        <w:rPr>
          <w:rFonts w:ascii="Arial" w:cs="Arial" w:eastAsia="Arial" w:hAnsi="Arial"/>
          <w:rtl w:val="0"/>
        </w:rPr>
        <w:t xml:space="preserve">(a)   The GSSW will collect and verify the known diagnoses of the individual;    and </w:t>
      </w:r>
    </w:p>
    <w:p w:rsidR="00000000" w:rsidDel="00000000" w:rsidP="00000000" w:rsidRDefault="00000000" w:rsidRPr="00000000" w14:paraId="0000003C">
      <w:pPr>
        <w:ind w:left="1710" w:hanging="450"/>
        <w:rPr>
          <w:rFonts w:ascii="Arial" w:cs="Arial" w:eastAsia="Arial" w:hAnsi="Arial"/>
        </w:rPr>
      </w:pPr>
      <w:r w:rsidDel="00000000" w:rsidR="00000000" w:rsidRPr="00000000">
        <w:rPr>
          <w:rFonts w:ascii="Arial" w:cs="Arial" w:eastAsia="Arial" w:hAnsi="Arial"/>
          <w:rtl w:val="0"/>
        </w:rPr>
        <w:t xml:space="preserve">(b)   Enter diagnoses into KYGFIS, within 30 days of appointment and review for accuracy</w:t>
      </w: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rtl w:val="0"/>
        </w:rPr>
        <w:t xml:space="preserve">at a minimum of annually thereafter;</w:t>
      </w:r>
    </w:p>
    <w:p w:rsidR="00000000" w:rsidDel="00000000" w:rsidP="00000000" w:rsidRDefault="00000000" w:rsidRPr="00000000" w14:paraId="0000003D">
      <w:pPr>
        <w:ind w:left="1080" w:hanging="540"/>
        <w:rPr>
          <w:rFonts w:ascii="Arial" w:cs="Arial" w:eastAsia="Arial" w:hAnsi="Arial"/>
        </w:rPr>
      </w:pPr>
      <w:r w:rsidDel="00000000" w:rsidR="00000000" w:rsidRPr="00000000">
        <w:rPr>
          <w:rFonts w:ascii="Arial" w:cs="Arial" w:eastAsia="Arial" w:hAnsi="Arial"/>
          <w:rtl w:val="0"/>
        </w:rPr>
        <w:t xml:space="preserve">(14) Incidents: The GSSW or designee shall enter incident information as per GField 14 Guardianship Incident Reporting</w:t>
      </w:r>
    </w:p>
    <w:p w:rsidR="00000000" w:rsidDel="00000000" w:rsidP="00000000" w:rsidRDefault="00000000" w:rsidRPr="00000000" w14:paraId="0000003E">
      <w:pPr>
        <w:ind w:left="1080" w:hanging="540"/>
        <w:rPr>
          <w:rFonts w:ascii="Arial" w:cs="Arial" w:eastAsia="Arial" w:hAnsi="Arial"/>
        </w:rPr>
      </w:pPr>
      <w:r w:rsidDel="00000000" w:rsidR="00000000" w:rsidRPr="00000000">
        <w:rPr>
          <w:rFonts w:ascii="Arial" w:cs="Arial" w:eastAsia="Arial" w:hAnsi="Arial"/>
          <w:rtl w:val="0"/>
        </w:rPr>
        <w:t xml:space="preserve">(15) Reports: Various reports are accessible to Guardianship Staff to gather information, assess data and utilize as needed to meet the ongoing needs of the individual. </w:t>
      </w:r>
    </w:p>
    <w:p w:rsidR="00000000" w:rsidDel="00000000" w:rsidP="00000000" w:rsidRDefault="00000000" w:rsidRPr="00000000" w14:paraId="0000003F">
      <w:pPr>
        <w:tabs>
          <w:tab w:val="left" w:pos="1080"/>
        </w:tabs>
        <w:ind w:left="1080" w:hanging="540"/>
        <w:rPr>
          <w:rFonts w:ascii="Arial" w:cs="Arial" w:eastAsia="Arial" w:hAnsi="Arial"/>
        </w:rPr>
      </w:pPr>
      <w:r w:rsidDel="00000000" w:rsidR="00000000" w:rsidRPr="00000000">
        <w:rPr>
          <w:rFonts w:ascii="Arial" w:cs="Arial" w:eastAsia="Arial" w:hAnsi="Arial"/>
          <w:rtl w:val="0"/>
        </w:rPr>
        <w:t xml:space="preserve">(16) Forms: Various forms are accessible to Guardianship staff as needed for ongoing case work and reporting.</w:t>
      </w:r>
    </w:p>
    <w:p w:rsidR="00000000" w:rsidDel="00000000" w:rsidP="00000000" w:rsidRDefault="00000000" w:rsidRPr="00000000" w14:paraId="00000040">
      <w:pPr>
        <w:tabs>
          <w:tab w:val="left" w:pos="1080"/>
        </w:tabs>
        <w:ind w:left="1080" w:hanging="540"/>
        <w:rPr>
          <w:rFonts w:ascii="Arial" w:cs="Arial" w:eastAsia="Arial" w:hAnsi="Arial"/>
        </w:rPr>
      </w:pPr>
      <w:r w:rsidDel="00000000" w:rsidR="00000000" w:rsidRPr="00000000">
        <w:rPr>
          <w:rFonts w:ascii="Arial" w:cs="Arial" w:eastAsia="Arial" w:hAnsi="Arial"/>
          <w:rtl w:val="0"/>
        </w:rPr>
        <w:t xml:space="preserve">(17) Attachments: The GSSW shall enter all health, medical and psychological records as attachments under this section.</w:t>
      </w:r>
    </w:p>
    <w:p w:rsidR="00000000" w:rsidDel="00000000" w:rsidP="00000000" w:rsidRDefault="00000000" w:rsidRPr="00000000" w14:paraId="00000041">
      <w:pPr>
        <w:tabs>
          <w:tab w:val="left" w:pos="1080"/>
        </w:tabs>
        <w:ind w:left="990" w:hanging="450"/>
        <w:rPr>
          <w:rFonts w:ascii="Arial" w:cs="Arial" w:eastAsia="Arial" w:hAnsi="Arial"/>
          <w:u w:val="single"/>
        </w:rPr>
      </w:pPr>
      <w:r w:rsidDel="00000000" w:rsidR="00000000" w:rsidRPr="00000000">
        <w:rPr>
          <w:rFonts w:ascii="Arial" w:cs="Arial" w:eastAsia="Arial" w:hAnsi="Arial"/>
          <w:rtl w:val="0"/>
        </w:rPr>
        <w:t xml:space="preserve">(18) Victimization: The GSSW or designee shall enter a victimization record when an individual under guardianship has been identified as a crime victim.</w:t>
      </w:r>
      <w:r w:rsidDel="00000000" w:rsidR="00000000" w:rsidRPr="00000000">
        <w:rPr>
          <w:rtl w:val="0"/>
        </w:rPr>
      </w:r>
    </w:p>
    <w:p w:rsidR="00000000" w:rsidDel="00000000" w:rsidP="00000000" w:rsidRDefault="00000000" w:rsidRPr="00000000" w14:paraId="00000042">
      <w:pPr>
        <w:ind w:left="1080" w:hanging="540"/>
        <w:rPr>
          <w:rFonts w:ascii="Arial" w:cs="Arial" w:eastAsia="Arial" w:hAnsi="Arial"/>
        </w:rPr>
      </w:pPr>
      <w:r w:rsidDel="00000000" w:rsidR="00000000" w:rsidRPr="00000000">
        <w:rPr>
          <w:rFonts w:ascii="Arial" w:cs="Arial" w:eastAsia="Arial" w:hAnsi="Arial"/>
          <w:rtl w:val="0"/>
        </w:rPr>
        <w:t xml:space="preserve">(19) The electronic file shall be updated in a timely, thorough and precise manner, within five (5) business days of receipt of information.  The electronic file shall be kept current and reflect an ongoing accounting of the individual’s status, so that any member of the Guardianship Services team can review, ascertain case details, and make informed decisions.</w:t>
      </w:r>
    </w:p>
    <w:p w:rsidR="00000000" w:rsidDel="00000000" w:rsidP="00000000" w:rsidRDefault="00000000" w:rsidRPr="00000000" w14:paraId="00000043">
      <w:pPr>
        <w:ind w:left="504" w:firstLine="0"/>
        <w:rPr>
          <w:rFonts w:ascii="Arial" w:cs="Arial" w:eastAsia="Arial" w:hAnsi="Arial"/>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1033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32"/>
      <w:gridCol w:w="3600"/>
      <w:tblGridChange w:id="0">
        <w:tblGrid>
          <w:gridCol w:w="6732"/>
          <w:gridCol w:w="3600"/>
        </w:tblGrid>
      </w:tblGridChange>
    </w:tblGrid>
    <w:tr>
      <w:trPr>
        <w:cantSplit w:val="1"/>
        <w:trHeight w:val="864" w:hRule="atLeast"/>
        <w:tblHeader w:val="1"/>
      </w:trPr>
      <w:tc>
        <w:tcPr/>
        <w:p w:rsidR="00000000" w:rsidDel="00000000" w:rsidP="00000000" w:rsidRDefault="00000000" w:rsidRPr="00000000" w14:paraId="00000046">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DIVISION OF GUARDIANSHIP  </w:t>
          </w:r>
        </w:p>
        <w:p w:rsidR="00000000" w:rsidDel="00000000" w:rsidP="00000000" w:rsidRDefault="00000000" w:rsidRPr="00000000" w14:paraId="00000047">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Maintaining Case Records </w:t>
          </w:r>
        </w:p>
      </w:tc>
      <w:tc>
        <w:tcPr/>
        <w:p w:rsidR="00000000" w:rsidDel="00000000" w:rsidP="00000000" w:rsidRDefault="00000000" w:rsidRPr="00000000" w14:paraId="00000048">
          <w:pPr>
            <w:jc w:val="right"/>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DAIL-GField 3 </w:t>
          </w:r>
        </w:p>
      </w:tc>
    </w:tr>
    <w:tr>
      <w:trPr>
        <w:cantSplit w:val="1"/>
        <w:trHeight w:val="864" w:hRule="atLeast"/>
        <w:tblHeader w:val="1"/>
      </w:trPr>
      <w:tc>
        <w:tcPr>
          <w:vAlign w:val="bottom"/>
        </w:tcPr>
        <w:p w:rsidR="00000000" w:rsidDel="00000000" w:rsidP="00000000" w:rsidRDefault="00000000" w:rsidRPr="00000000" w14:paraId="00000049">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Effective Date:  March 29, 2010</w:t>
          </w:r>
        </w:p>
        <w:p w:rsidR="00000000" w:rsidDel="00000000" w:rsidP="00000000" w:rsidRDefault="00000000" w:rsidRPr="00000000" w14:paraId="0000004A">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Revised:  April 27, 2021</w:t>
          </w:r>
        </w:p>
        <w:p w:rsidR="00000000" w:rsidDel="00000000" w:rsidP="00000000" w:rsidRDefault="00000000" w:rsidRPr="00000000" w14:paraId="0000004B">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Revision History: 6/1/16</w:t>
          </w:r>
        </w:p>
      </w:tc>
      <w:tc>
        <w:tcPr>
          <w:vAlign w:val="bottom"/>
        </w:tcPr>
        <w:p w:rsidR="00000000" w:rsidDel="00000000" w:rsidP="00000000" w:rsidRDefault="00000000" w:rsidRPr="00000000" w14:paraId="0000004C">
          <w:pPr>
            <w:jc w:val="right"/>
            <w:rPr>
              <w:rFonts w:ascii="Arial" w:cs="Arial" w:eastAsia="Arial" w:hAnsi="Arial"/>
              <w:b w:val="1"/>
              <w:sz w:val="28"/>
              <w:szCs w:val="28"/>
            </w:rPr>
          </w:pPr>
          <w:bookmarkStart w:colFirst="0" w:colLast="0" w:name="_heading=h.gjdgxs" w:id="0"/>
          <w:bookmarkEnd w:id="0"/>
          <w:r w:rsidDel="00000000" w:rsidR="00000000" w:rsidRPr="00000000">
            <w:rPr>
              <w:rFonts w:ascii="Arial" w:cs="Arial" w:eastAsia="Arial" w:hAnsi="Arial"/>
              <w:b w:val="1"/>
              <w:sz w:val="28"/>
              <w:szCs w:val="28"/>
              <w:rtl w:val="0"/>
            </w:rPr>
            <w:t xml:space="preserve">Page </w:t>
          </w:r>
          <w:r w:rsidDel="00000000" w:rsidR="00000000" w:rsidRPr="00000000">
            <w:rPr>
              <w:rFonts w:ascii="Arial" w:cs="Arial" w:eastAsia="Arial" w:hAnsi="Arial"/>
              <w:b w:val="1"/>
              <w:sz w:val="28"/>
              <w:szCs w:val="28"/>
            </w:rPr>
            <w:fldChar w:fldCharType="begin"/>
            <w:instrText xml:space="preserve">PAGE</w:instrText>
            <w:fldChar w:fldCharType="separate"/>
            <w:fldChar w:fldCharType="end"/>
          </w:r>
          <w:r w:rsidDel="00000000" w:rsidR="00000000" w:rsidRPr="00000000">
            <w:rPr>
              <w:rFonts w:ascii="Arial" w:cs="Arial" w:eastAsia="Arial" w:hAnsi="Arial"/>
              <w:b w:val="1"/>
              <w:sz w:val="28"/>
              <w:szCs w:val="28"/>
              <w:rtl w:val="0"/>
            </w:rPr>
            <w:t xml:space="preserve"> of 3</w:t>
          </w:r>
        </w:p>
      </w:tc>
    </w:tr>
  </w:tbl>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04" w:hanging="504"/>
      </w:pPr>
      <w:rPr>
        <w:rFonts w:ascii="Arial" w:cs="Arial" w:eastAsia="Arial" w:hAnsi="Arial"/>
        <w:b w:val="0"/>
        <w:i w:val="0"/>
        <w:strike w:val="0"/>
        <w:color w:val="000000"/>
        <w:sz w:val="24"/>
        <w:szCs w:val="24"/>
        <w:u w:val="none"/>
      </w:rPr>
    </w:lvl>
    <w:lvl w:ilvl="1">
      <w:start w:val="1"/>
      <w:numFmt w:val="lowerLetter"/>
      <w:lvlText w:val="(%2)"/>
      <w:lvlJc w:val="left"/>
      <w:pPr>
        <w:ind w:left="1260" w:hanging="720"/>
      </w:pPr>
      <w:rPr/>
    </w:lvl>
    <w:lvl w:ilvl="2">
      <w:start w:val="1"/>
      <w:numFmt w:val="decimal"/>
      <w:lvlText w:val="%3."/>
      <w:lvlJc w:val="left"/>
      <w:pPr>
        <w:ind w:left="1620" w:hanging="360"/>
      </w:pPr>
      <w:rPr>
        <w:b w:val="0"/>
        <w:i w:val="0"/>
        <w:strike w:val="0"/>
        <w:color w:val="000000"/>
        <w:sz w:val="24"/>
        <w:szCs w:val="24"/>
        <w:u w:val="none"/>
      </w:rPr>
    </w:lvl>
    <w:lvl w:ilvl="3">
      <w:start w:val="1"/>
      <w:numFmt w:val="lowerLetter"/>
      <w:lvlText w:val="%4."/>
      <w:lvlJc w:val="left"/>
      <w:pPr>
        <w:ind w:left="2070" w:hanging="360"/>
      </w:pPr>
      <w:rPr/>
    </w:lvl>
    <w:lvl w:ilvl="4">
      <w:start w:val="1"/>
      <w:numFmt w:val="lowerRoman"/>
      <w:lvlText w:val="%5."/>
      <w:lvlJc w:val="righ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80E54"/>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Indent3">
    <w:name w:val="Body Text Indent 3"/>
    <w:basedOn w:val="Normal"/>
    <w:link w:val="BodyTextIndent3Char"/>
    <w:unhideWhenUsed w:val="1"/>
    <w:rsid w:val="00980E54"/>
    <w:pPr>
      <w:ind w:left="-720"/>
    </w:pPr>
    <w:rPr>
      <w:szCs w:val="20"/>
    </w:rPr>
  </w:style>
  <w:style w:type="character" w:styleId="BodyTextIndent3Char" w:customStyle="1">
    <w:name w:val="Body Text Indent 3 Char"/>
    <w:basedOn w:val="DefaultParagraphFont"/>
    <w:link w:val="BodyTextIndent3"/>
    <w:semiHidden w:val="1"/>
    <w:rsid w:val="00980E54"/>
    <w:rPr>
      <w:rFonts w:ascii="Times New Roman" w:cs="Times New Roman" w:eastAsia="Times New Roman" w:hAnsi="Times New Roman"/>
      <w:sz w:val="24"/>
      <w:szCs w:val="20"/>
    </w:rPr>
  </w:style>
  <w:style w:type="paragraph" w:styleId="Header">
    <w:name w:val="header"/>
    <w:basedOn w:val="Normal"/>
    <w:link w:val="HeaderChar"/>
    <w:uiPriority w:val="99"/>
    <w:unhideWhenUsed w:val="1"/>
    <w:rsid w:val="00980E54"/>
    <w:pPr>
      <w:tabs>
        <w:tab w:val="center" w:pos="4680"/>
        <w:tab w:val="right" w:pos="9360"/>
      </w:tabs>
    </w:pPr>
  </w:style>
  <w:style w:type="character" w:styleId="HeaderChar" w:customStyle="1">
    <w:name w:val="Header Char"/>
    <w:basedOn w:val="DefaultParagraphFont"/>
    <w:link w:val="Header"/>
    <w:uiPriority w:val="99"/>
    <w:rsid w:val="00980E54"/>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980E54"/>
    <w:pPr>
      <w:tabs>
        <w:tab w:val="center" w:pos="4680"/>
        <w:tab w:val="right" w:pos="9360"/>
      </w:tabs>
    </w:pPr>
  </w:style>
  <w:style w:type="character" w:styleId="FooterChar" w:customStyle="1">
    <w:name w:val="Footer Char"/>
    <w:basedOn w:val="DefaultParagraphFont"/>
    <w:link w:val="Footer"/>
    <w:uiPriority w:val="99"/>
    <w:rsid w:val="00980E54"/>
    <w:rPr>
      <w:rFonts w:ascii="Times New Roman" w:cs="Times New Roman" w:eastAsia="Times New Roman" w:hAnsi="Times New Roman"/>
      <w:sz w:val="24"/>
      <w:szCs w:val="24"/>
    </w:rPr>
  </w:style>
  <w:style w:type="paragraph" w:styleId="ListParagraph">
    <w:name w:val="List Paragraph"/>
    <w:basedOn w:val="Normal"/>
    <w:uiPriority w:val="34"/>
    <w:qFormat w:val="1"/>
    <w:rsid w:val="00223926"/>
    <w:pPr>
      <w:ind w:left="720"/>
      <w:contextualSpacing w:val="1"/>
    </w:pPr>
  </w:style>
  <w:style w:type="paragraph" w:styleId="BalloonText">
    <w:name w:val="Balloon Text"/>
    <w:basedOn w:val="Normal"/>
    <w:link w:val="BalloonTextChar"/>
    <w:uiPriority w:val="99"/>
    <w:semiHidden w:val="1"/>
    <w:unhideWhenUsed w:val="1"/>
    <w:rsid w:val="00AA3A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A3AAA"/>
    <w:rPr>
      <w:rFonts w:ascii="Segoe UI" w:cs="Segoe UI" w:eastAsia="Times New Roman" w:hAnsi="Segoe UI"/>
      <w:sz w:val="18"/>
      <w:szCs w:val="18"/>
    </w:rPr>
  </w:style>
  <w:style w:type="character" w:styleId="CommentReference">
    <w:name w:val="annotation reference"/>
    <w:basedOn w:val="DefaultParagraphFont"/>
    <w:uiPriority w:val="99"/>
    <w:semiHidden w:val="1"/>
    <w:unhideWhenUsed w:val="1"/>
    <w:rsid w:val="00DC6A39"/>
    <w:rPr>
      <w:sz w:val="16"/>
      <w:szCs w:val="16"/>
    </w:rPr>
  </w:style>
  <w:style w:type="paragraph" w:styleId="CommentText">
    <w:name w:val="annotation text"/>
    <w:basedOn w:val="Normal"/>
    <w:link w:val="CommentTextChar"/>
    <w:uiPriority w:val="99"/>
    <w:semiHidden w:val="1"/>
    <w:unhideWhenUsed w:val="1"/>
    <w:rsid w:val="00DC6A39"/>
    <w:rPr>
      <w:sz w:val="20"/>
      <w:szCs w:val="20"/>
    </w:rPr>
  </w:style>
  <w:style w:type="character" w:styleId="CommentTextChar" w:customStyle="1">
    <w:name w:val="Comment Text Char"/>
    <w:basedOn w:val="DefaultParagraphFont"/>
    <w:link w:val="CommentText"/>
    <w:uiPriority w:val="99"/>
    <w:semiHidden w:val="1"/>
    <w:rsid w:val="00DC6A39"/>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DC6A39"/>
    <w:rPr>
      <w:b w:val="1"/>
      <w:bCs w:val="1"/>
    </w:rPr>
  </w:style>
  <w:style w:type="character" w:styleId="CommentSubjectChar" w:customStyle="1">
    <w:name w:val="Comment Subject Char"/>
    <w:basedOn w:val="CommentTextChar"/>
    <w:link w:val="CommentSubject"/>
    <w:uiPriority w:val="99"/>
    <w:semiHidden w:val="1"/>
    <w:rsid w:val="00DC6A39"/>
    <w:rPr>
      <w:rFonts w:ascii="Times New Roman" w:cs="Times New Roman" w:eastAsia="Times New Roman" w:hAnsi="Times New Roman"/>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ZPRlv23XL/oLxcxmH9RXHTMWzw==">AMUW2mWc+ngFtG7Zxt35NyOqbiJ1X7E75+jO/qXPGidc6/XJs4jpg9u2Fmx7CXkmAGXriuEsl1wpMy2a6k1zHv5RM9d+7uJR8+cFcYbEtzcdT70H6L/aOSTNuvo84pc39Tm42jiFkUsz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2021-03-11T15:10:00Z</dcterms:created>
  <dc:creator>heather.holland</dc:creator>
</cp:coreProperties>
</file>