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E1B0" w14:textId="77777777" w:rsidR="0060782D" w:rsidRPr="006A3EED" w:rsidRDefault="0060782D" w:rsidP="00F01DFD">
      <w:pPr>
        <w:spacing w:after="0"/>
        <w:jc w:val="center"/>
        <w:rPr>
          <w:rFonts w:ascii="Century Schoolbook" w:hAnsi="Century Schoolbook"/>
          <w:b/>
          <w:color w:val="000000" w:themeColor="text1"/>
          <w:sz w:val="36"/>
          <w:szCs w:val="36"/>
          <w14:glow w14:rad="63500">
            <w14:schemeClr w14:val="accent3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A3EED">
        <w:rPr>
          <w:rFonts w:ascii="Century Schoolbook" w:hAnsi="Century Schoolbook"/>
          <w:b/>
          <w:color w:val="000000" w:themeColor="text1"/>
          <w:sz w:val="36"/>
          <w:szCs w:val="36"/>
          <w14:glow w14:rad="63500">
            <w14:schemeClr w14:val="accent3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Kevin Russell Mullins</w:t>
      </w:r>
    </w:p>
    <w:p w14:paraId="3F4F972D" w14:textId="7C964D13" w:rsidR="0060782D" w:rsidRDefault="006C07CA" w:rsidP="00F01DFD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156 Main Street, Suite 101 C</w:t>
      </w:r>
    </w:p>
    <w:p w14:paraId="2D17C67E" w14:textId="11D096BD" w:rsidR="006C07CA" w:rsidRPr="0023523C" w:rsidRDefault="006C07CA" w:rsidP="00F01DFD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Whitesburg, </w:t>
      </w:r>
      <w:proofErr w:type="gramStart"/>
      <w:r>
        <w:rPr>
          <w:rFonts w:ascii="Century Schoolbook" w:hAnsi="Century Schoolbook"/>
          <w:b/>
          <w:sz w:val="28"/>
          <w:szCs w:val="28"/>
        </w:rPr>
        <w:t>Kentucky  41858</w:t>
      </w:r>
      <w:proofErr w:type="gramEnd"/>
    </w:p>
    <w:p w14:paraId="6B67640D" w14:textId="3CDDB243" w:rsidR="0060782D" w:rsidRPr="0023523C" w:rsidRDefault="0060782D" w:rsidP="00F01DFD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23523C">
        <w:rPr>
          <w:rFonts w:ascii="Century Schoolbook" w:hAnsi="Century Schoolbook"/>
          <w:b/>
          <w:sz w:val="28"/>
          <w:szCs w:val="28"/>
        </w:rPr>
        <w:t>606-634-6949 (cell)</w:t>
      </w:r>
      <w:r w:rsidR="006C07CA">
        <w:rPr>
          <w:rFonts w:ascii="Century Schoolbook" w:hAnsi="Century Schoolbook"/>
          <w:b/>
          <w:sz w:val="28"/>
          <w:szCs w:val="28"/>
        </w:rPr>
        <w:t xml:space="preserve"> – 606-632-9035 (fax)</w:t>
      </w:r>
    </w:p>
    <w:p w14:paraId="7876243B" w14:textId="77777777" w:rsidR="0060782D" w:rsidRDefault="00F01DFD" w:rsidP="0060782D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3AC21" wp14:editId="3A1F49B4">
                <wp:simplePos x="0" y="0"/>
                <wp:positionH relativeFrom="column">
                  <wp:posOffset>6350</wp:posOffset>
                </wp:positionH>
                <wp:positionV relativeFrom="paragraph">
                  <wp:posOffset>72479</wp:posOffset>
                </wp:positionV>
                <wp:extent cx="591140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5CA6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7pt" to="46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758DFA5" w14:textId="77777777" w:rsidR="00F01DFD" w:rsidRDefault="00F01DFD" w:rsidP="0060782D">
      <w:pPr>
        <w:spacing w:after="0"/>
        <w:rPr>
          <w:rFonts w:ascii="Century Schoolbook" w:hAnsi="Century Schoolbook"/>
          <w:sz w:val="19"/>
          <w:szCs w:val="19"/>
        </w:rPr>
      </w:pPr>
    </w:p>
    <w:p w14:paraId="5788B2A7" w14:textId="77777777" w:rsidR="0060782D" w:rsidRPr="00F2223D" w:rsidRDefault="0060782D" w:rsidP="0060782D">
      <w:pPr>
        <w:spacing w:after="0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>PROFESSIONAL EXPERIENCE</w:t>
      </w:r>
    </w:p>
    <w:p w14:paraId="323A9838" w14:textId="77777777" w:rsidR="0060782D" w:rsidRPr="00F2223D" w:rsidRDefault="0060782D" w:rsidP="0060782D">
      <w:pPr>
        <w:spacing w:after="0"/>
        <w:rPr>
          <w:rFonts w:ascii="Century Schoolbook" w:hAnsi="Century Schoolbook"/>
          <w:sz w:val="20"/>
          <w:szCs w:val="20"/>
        </w:rPr>
      </w:pPr>
    </w:p>
    <w:p w14:paraId="697B5BC9" w14:textId="017F6147" w:rsidR="001817D3" w:rsidRDefault="001817D3" w:rsidP="001817D3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Commonwealth of Kentucky, 47</w:t>
      </w:r>
      <w:r w:rsidRPr="00870E71">
        <w:rPr>
          <w:rFonts w:ascii="Century Schoolbook" w:hAnsi="Century Schoolbook"/>
          <w:b/>
          <w:sz w:val="20"/>
          <w:szCs w:val="20"/>
          <w:vertAlign w:val="superscript"/>
        </w:rPr>
        <w:t>th</w:t>
      </w:r>
      <w:r>
        <w:rPr>
          <w:rFonts w:ascii="Century Schoolbook" w:hAnsi="Century Schoolbook"/>
          <w:b/>
          <w:sz w:val="20"/>
          <w:szCs w:val="20"/>
        </w:rPr>
        <w:t xml:space="preserve"> Judicial District</w:t>
      </w:r>
      <w:r>
        <w:rPr>
          <w:rFonts w:ascii="Century Schoolbook" w:hAnsi="Century Schoolbook"/>
          <w:sz w:val="20"/>
          <w:szCs w:val="20"/>
        </w:rPr>
        <w:t>, Whitesburg, Kentucky</w:t>
      </w:r>
    </w:p>
    <w:p w14:paraId="0EC38D61" w14:textId="4096A7EF" w:rsidR="00A07F89" w:rsidRPr="00A07F89" w:rsidRDefault="00A07F89" w:rsidP="001817D3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A07F89">
        <w:rPr>
          <w:rFonts w:ascii="Century Schoolbook" w:hAnsi="Century Schoolbook"/>
          <w:i/>
          <w:sz w:val="20"/>
          <w:szCs w:val="20"/>
        </w:rPr>
        <w:t>December 2009 - Present</w:t>
      </w:r>
    </w:p>
    <w:p w14:paraId="3C7D11D3" w14:textId="77777777" w:rsidR="001817D3" w:rsidRPr="006A3EED" w:rsidRDefault="001817D3" w:rsidP="001817D3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  <w:u w:val="single"/>
        </w:rPr>
        <w:t>District Judge</w:t>
      </w:r>
    </w:p>
    <w:p w14:paraId="2521A365" w14:textId="23F0A8EC" w:rsidR="001817D3" w:rsidRDefault="001817D3" w:rsidP="001817D3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Preside over all misdemeanor</w:t>
      </w:r>
      <w:r w:rsidR="00D73CD6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and juvenile offenses along with all actions for dependency, neglect, or abuse.  Initial jurisdiction over the </w:t>
      </w:r>
      <w:proofErr w:type="gramStart"/>
      <w:r>
        <w:rPr>
          <w:rFonts w:ascii="Century Schoolbook" w:hAnsi="Century Schoolbook"/>
          <w:sz w:val="20"/>
          <w:szCs w:val="20"/>
        </w:rPr>
        <w:t>vast majority</w:t>
      </w:r>
      <w:proofErr w:type="gramEnd"/>
      <w:r>
        <w:rPr>
          <w:rFonts w:ascii="Century Schoolbook" w:hAnsi="Century Schoolbook"/>
          <w:sz w:val="20"/>
          <w:szCs w:val="20"/>
        </w:rPr>
        <w:t xml:space="preserve"> of felony cases involving drug possession or drug trafficking in Letcher County.</w:t>
      </w:r>
    </w:p>
    <w:p w14:paraId="3DB9FD85" w14:textId="77777777" w:rsidR="001817D3" w:rsidRDefault="001817D3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</w:p>
    <w:p w14:paraId="0CEE773C" w14:textId="608086A3" w:rsidR="0060782D" w:rsidRPr="00F2223D" w:rsidRDefault="0060782D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  <w:r w:rsidRPr="00F2223D">
        <w:rPr>
          <w:rFonts w:ascii="Century Schoolbook" w:hAnsi="Century Schoolbook"/>
          <w:b/>
          <w:sz w:val="20"/>
          <w:szCs w:val="20"/>
        </w:rPr>
        <w:t xml:space="preserve">Letcher County Commonwealth’s Attorney, </w:t>
      </w:r>
      <w:r w:rsidRPr="00F2223D">
        <w:rPr>
          <w:rFonts w:ascii="Century Schoolbook" w:hAnsi="Century Schoolbook"/>
          <w:sz w:val="20"/>
          <w:szCs w:val="20"/>
        </w:rPr>
        <w:t>Whitesburg, Kentucky</w:t>
      </w:r>
    </w:p>
    <w:p w14:paraId="3360F8F0" w14:textId="7C0FC12E" w:rsidR="0060782D" w:rsidRPr="00F2223D" w:rsidRDefault="0060782D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 xml:space="preserve">January 2001 – </w:t>
      </w:r>
      <w:r w:rsidR="006C07CA">
        <w:rPr>
          <w:rFonts w:ascii="Century Schoolbook" w:hAnsi="Century Schoolbook"/>
          <w:i/>
          <w:sz w:val="20"/>
          <w:szCs w:val="20"/>
        </w:rPr>
        <w:t>December 2009</w:t>
      </w:r>
    </w:p>
    <w:p w14:paraId="2A3AD53F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  <w:u w:val="single"/>
        </w:rPr>
        <w:t>Assistant Commonwealth Attorney</w:t>
      </w:r>
    </w:p>
    <w:p w14:paraId="2E13A55C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>Handle all aspects of prosecuting felony crimes from issuance of warrants to murder trials.  Primarily responsible for litigating drug trafficking cases with one hundred percent trial conviction rate.</w:t>
      </w:r>
    </w:p>
    <w:p w14:paraId="42BB7B3C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2D738B35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  <w:r w:rsidRPr="00F2223D">
        <w:rPr>
          <w:rFonts w:ascii="Century Schoolbook" w:hAnsi="Century Schoolbook"/>
          <w:b/>
          <w:sz w:val="20"/>
          <w:szCs w:val="20"/>
        </w:rPr>
        <w:t xml:space="preserve">Kevin R. Mullins, Attorney at Law, </w:t>
      </w:r>
      <w:r w:rsidRPr="00F2223D">
        <w:rPr>
          <w:rFonts w:ascii="Century Schoolbook" w:hAnsi="Century Schoolbook"/>
          <w:sz w:val="20"/>
          <w:szCs w:val="20"/>
        </w:rPr>
        <w:t>Whitesburg, Kentucky</w:t>
      </w:r>
    </w:p>
    <w:p w14:paraId="44B044FF" w14:textId="321ABA2C" w:rsidR="0060782D" w:rsidRPr="00F2223D" w:rsidRDefault="0060782D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 xml:space="preserve">June 1999 – </w:t>
      </w:r>
      <w:r w:rsidR="006C07CA">
        <w:rPr>
          <w:rFonts w:ascii="Century Schoolbook" w:hAnsi="Century Schoolbook"/>
          <w:i/>
          <w:sz w:val="20"/>
          <w:szCs w:val="20"/>
        </w:rPr>
        <w:t>December 2009</w:t>
      </w:r>
    </w:p>
    <w:p w14:paraId="3953D52F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  <w:u w:val="single"/>
        </w:rPr>
        <w:t>Sole Practitioner</w:t>
      </w:r>
    </w:p>
    <w:p w14:paraId="60265127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>Represent clients in multiple areas of the law including personal injury, probate, and property matters.  Represent injured workers’ compensation and product liability claims.  Received multi-</w:t>
      </w:r>
      <w:proofErr w:type="gramStart"/>
      <w:r w:rsidRPr="00F2223D">
        <w:rPr>
          <w:rFonts w:ascii="Century Schoolbook" w:hAnsi="Century Schoolbook"/>
          <w:sz w:val="20"/>
          <w:szCs w:val="20"/>
        </w:rPr>
        <w:t>million dollar</w:t>
      </w:r>
      <w:proofErr w:type="gramEnd"/>
      <w:r w:rsidRPr="00F2223D">
        <w:rPr>
          <w:rFonts w:ascii="Century Schoolbook" w:hAnsi="Century Schoolbook"/>
          <w:sz w:val="20"/>
          <w:szCs w:val="20"/>
        </w:rPr>
        <w:t xml:space="preserve"> settlement for family of an underground coal miner who was electrocuted with operating a cable fault locator used in underground coal mines.</w:t>
      </w:r>
    </w:p>
    <w:p w14:paraId="39042048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6E573F33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  <w:proofErr w:type="spellStart"/>
      <w:r w:rsidRPr="00F2223D">
        <w:rPr>
          <w:rFonts w:ascii="Century Schoolbook" w:hAnsi="Century Schoolbook"/>
          <w:b/>
          <w:sz w:val="20"/>
          <w:szCs w:val="20"/>
        </w:rPr>
        <w:t>Greenebaum</w:t>
      </w:r>
      <w:proofErr w:type="spellEnd"/>
      <w:r w:rsidRPr="00F2223D">
        <w:rPr>
          <w:rFonts w:ascii="Century Schoolbook" w:hAnsi="Century Schoolbook"/>
          <w:b/>
          <w:sz w:val="20"/>
          <w:szCs w:val="20"/>
        </w:rPr>
        <w:t xml:space="preserve"> Doll &amp; McDonald PLLC, </w:t>
      </w:r>
      <w:r w:rsidRPr="00F2223D">
        <w:rPr>
          <w:rFonts w:ascii="Century Schoolbook" w:hAnsi="Century Schoolbook"/>
          <w:sz w:val="20"/>
          <w:szCs w:val="20"/>
        </w:rPr>
        <w:t>Covington, Kentucky</w:t>
      </w:r>
    </w:p>
    <w:p w14:paraId="24206796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>September 1996 – February 1999</w:t>
      </w:r>
    </w:p>
    <w:p w14:paraId="0A32BA3D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  <w:u w:val="single"/>
        </w:rPr>
        <w:t>Associate</w:t>
      </w:r>
    </w:p>
    <w:p w14:paraId="571F7A58" w14:textId="4664FA28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bookmarkStart w:id="1" w:name="_Hlk17362682"/>
      <w:r w:rsidRPr="00F2223D">
        <w:rPr>
          <w:rFonts w:ascii="Century Schoolbook" w:hAnsi="Century Schoolbook"/>
          <w:sz w:val="20"/>
          <w:szCs w:val="20"/>
        </w:rPr>
        <w:t xml:space="preserve">Workers’ Compensation litigation concerning injury and occupational disease claims.  </w:t>
      </w:r>
      <w:bookmarkEnd w:id="1"/>
    </w:p>
    <w:p w14:paraId="6DA5670B" w14:textId="77777777" w:rsidR="00BC1C77" w:rsidRPr="00F2223D" w:rsidRDefault="00BC1C77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7D6F1278" w14:textId="77777777" w:rsidR="00BC1C77" w:rsidRPr="00F2223D" w:rsidRDefault="00BC1C77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b/>
          <w:sz w:val="20"/>
          <w:szCs w:val="20"/>
        </w:rPr>
        <w:t xml:space="preserve">Barret, Haynes, May, Carter &amp; Roark P.S.C., </w:t>
      </w:r>
      <w:r w:rsidRPr="00F2223D">
        <w:rPr>
          <w:rFonts w:ascii="Century Schoolbook" w:hAnsi="Century Schoolbook"/>
          <w:sz w:val="20"/>
          <w:szCs w:val="20"/>
        </w:rPr>
        <w:t>Hazard, Kentucky</w:t>
      </w:r>
    </w:p>
    <w:p w14:paraId="29248101" w14:textId="77777777" w:rsidR="00BC1C77" w:rsidRPr="00F2223D" w:rsidRDefault="00BC1C77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>June 1995 – September 1996</w:t>
      </w:r>
    </w:p>
    <w:p w14:paraId="7875BD21" w14:textId="77777777" w:rsidR="00BC1C77" w:rsidRPr="00F2223D" w:rsidRDefault="00BC1C77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  <w:u w:val="single"/>
        </w:rPr>
        <w:t>Associate</w:t>
      </w:r>
    </w:p>
    <w:p w14:paraId="57E59CEA" w14:textId="2ADDB802" w:rsidR="00BC1C77" w:rsidRPr="00F2223D" w:rsidRDefault="00BC1C77" w:rsidP="00BC1C77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 xml:space="preserve">Workers’ Compensation litigation concerning injury and occupational disease claims.  Drafted four successful briefs to the Kentucky Supreme Court </w:t>
      </w:r>
      <w:proofErr w:type="gramStart"/>
      <w:r w:rsidRPr="00F2223D">
        <w:rPr>
          <w:rFonts w:ascii="Century Schoolbook" w:hAnsi="Century Schoolbook"/>
          <w:sz w:val="20"/>
          <w:szCs w:val="20"/>
        </w:rPr>
        <w:t>in reference to</w:t>
      </w:r>
      <w:proofErr w:type="gramEnd"/>
      <w:r w:rsidRPr="00F2223D">
        <w:rPr>
          <w:rFonts w:ascii="Century Schoolbook" w:hAnsi="Century Schoolbook"/>
          <w:sz w:val="20"/>
          <w:szCs w:val="20"/>
        </w:rPr>
        <w:t xml:space="preserve"> coal worker’s pneumoconiosis claims.</w:t>
      </w:r>
    </w:p>
    <w:p w14:paraId="1EC195A6" w14:textId="77777777" w:rsidR="00BC1C77" w:rsidRPr="00F2223D" w:rsidRDefault="00BC1C77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0396D694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b/>
          <w:sz w:val="20"/>
          <w:szCs w:val="20"/>
        </w:rPr>
        <w:t>University of Louisville, Louis D. Brandeis School of Law</w:t>
      </w:r>
      <w:r w:rsidRPr="00F2223D">
        <w:rPr>
          <w:rFonts w:ascii="Century Schoolbook" w:hAnsi="Century Schoolbook"/>
          <w:sz w:val="20"/>
          <w:szCs w:val="20"/>
        </w:rPr>
        <w:t>, Louisville, Kentucky</w:t>
      </w:r>
    </w:p>
    <w:p w14:paraId="4CB29400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>May 1993 – May 1995</w:t>
      </w:r>
    </w:p>
    <w:p w14:paraId="79E4B297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  <w:u w:val="single"/>
        </w:rPr>
        <w:t>Research Assistant:  Professor/Employment Arbitrator Edwin Render</w:t>
      </w:r>
    </w:p>
    <w:p w14:paraId="55A44EF4" w14:textId="6891BC6A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>Researched various labor and employment law issues including the United Mine Workers of America Pittston Coal Strike.</w:t>
      </w:r>
    </w:p>
    <w:p w14:paraId="1B75C979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7F3DACAA" w14:textId="77777777" w:rsidR="002373C7" w:rsidRDefault="002373C7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</w:p>
    <w:p w14:paraId="6DADD149" w14:textId="77777777" w:rsidR="002373C7" w:rsidRDefault="002373C7" w:rsidP="002373C7">
      <w:pPr>
        <w:spacing w:after="0"/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lastRenderedPageBreak/>
        <w:t>Kevin R. Mullins</w:t>
      </w:r>
    </w:p>
    <w:p w14:paraId="4042D5A1" w14:textId="77777777" w:rsidR="002373C7" w:rsidRDefault="002373C7" w:rsidP="002373C7">
      <w:pPr>
        <w:spacing w:after="0"/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>Page 2</w:t>
      </w:r>
    </w:p>
    <w:p w14:paraId="71479303" w14:textId="5F0A61EB" w:rsidR="002373C7" w:rsidRDefault="002373C7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</w:p>
    <w:p w14:paraId="2C5B6BCF" w14:textId="77777777" w:rsidR="002373C7" w:rsidRDefault="002373C7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</w:p>
    <w:p w14:paraId="60ACE4AF" w14:textId="77777777" w:rsidR="002373C7" w:rsidRDefault="002373C7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</w:p>
    <w:p w14:paraId="10BEF0D7" w14:textId="61DFC59C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b/>
          <w:sz w:val="20"/>
          <w:szCs w:val="20"/>
        </w:rPr>
        <w:t>United States District Court, Western District of Kentucky</w:t>
      </w:r>
      <w:r w:rsidRPr="00F2223D">
        <w:rPr>
          <w:rFonts w:ascii="Century Schoolbook" w:hAnsi="Century Schoolbook"/>
          <w:sz w:val="20"/>
          <w:szCs w:val="20"/>
        </w:rPr>
        <w:t>, Louisville, Kentucky</w:t>
      </w:r>
    </w:p>
    <w:p w14:paraId="082A1F55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>August 1994 – January 1995</w:t>
      </w:r>
    </w:p>
    <w:p w14:paraId="5300AE55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</w:rPr>
        <w:t>Judicial Intern:  Chief Judge Ronald E. Meredith</w:t>
      </w:r>
    </w:p>
    <w:p w14:paraId="5C2CE465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>Prepare drafts of Court Orders and Opinions.  Research various legal issues.</w:t>
      </w:r>
    </w:p>
    <w:p w14:paraId="5AC3F0BF" w14:textId="77777777" w:rsidR="00F2223D" w:rsidRDefault="00F2223D" w:rsidP="002D154F">
      <w:pPr>
        <w:spacing w:after="0"/>
        <w:jc w:val="both"/>
        <w:rPr>
          <w:rFonts w:ascii="Century Schoolbook" w:hAnsi="Century Schoolbook"/>
          <w:b/>
          <w:sz w:val="20"/>
          <w:szCs w:val="20"/>
        </w:rPr>
      </w:pPr>
    </w:p>
    <w:p w14:paraId="29F7C83F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b/>
          <w:sz w:val="20"/>
          <w:szCs w:val="20"/>
        </w:rPr>
        <w:t>Commonwealth of Kentucky, Labor Cabinet, Division of the Special Fund</w:t>
      </w:r>
      <w:r w:rsidRPr="00F2223D">
        <w:rPr>
          <w:rFonts w:ascii="Century Schoolbook" w:hAnsi="Century Schoolbook"/>
          <w:sz w:val="20"/>
          <w:szCs w:val="20"/>
        </w:rPr>
        <w:t>, Louisville, Kentucky</w:t>
      </w:r>
    </w:p>
    <w:p w14:paraId="21C9F234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F2223D">
        <w:rPr>
          <w:rFonts w:ascii="Century Schoolbook" w:hAnsi="Century Schoolbook"/>
          <w:i/>
          <w:sz w:val="20"/>
          <w:szCs w:val="20"/>
        </w:rPr>
        <w:t>July 1994 – June 1995</w:t>
      </w:r>
    </w:p>
    <w:p w14:paraId="5B5D7C25" w14:textId="77777777" w:rsidR="002D154F" w:rsidRPr="00F2223D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F2223D">
        <w:rPr>
          <w:rFonts w:ascii="Century Schoolbook" w:hAnsi="Century Schoolbook"/>
          <w:sz w:val="20"/>
          <w:szCs w:val="20"/>
          <w:u w:val="single"/>
        </w:rPr>
        <w:t>Law Clerk</w:t>
      </w:r>
    </w:p>
    <w:p w14:paraId="2C708DAE" w14:textId="77777777" w:rsidR="002D154F" w:rsidRDefault="002D154F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F2223D">
        <w:rPr>
          <w:rFonts w:ascii="Century Schoolbook" w:hAnsi="Century Schoolbook"/>
          <w:sz w:val="20"/>
          <w:szCs w:val="20"/>
        </w:rPr>
        <w:t>Prepare paperwork and briefs submitted to Administrative Law Judges.  Perform research on pending and appellate claims.</w:t>
      </w:r>
    </w:p>
    <w:p w14:paraId="74F817D0" w14:textId="77777777" w:rsidR="00F2223D" w:rsidRDefault="00F2223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6CB66AF7" w14:textId="77777777" w:rsidR="00F2223D" w:rsidRDefault="00F2223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6A3EED">
        <w:rPr>
          <w:rFonts w:ascii="Century Schoolbook" w:hAnsi="Century Schoolbook"/>
          <w:b/>
          <w:sz w:val="20"/>
          <w:szCs w:val="20"/>
        </w:rPr>
        <w:t>City of Louisville, Department of Law</w:t>
      </w:r>
      <w:r>
        <w:rPr>
          <w:rFonts w:ascii="Century Schoolbook" w:hAnsi="Century Schoolbook"/>
          <w:sz w:val="20"/>
          <w:szCs w:val="20"/>
        </w:rPr>
        <w:t>, Louisville, Kentucky</w:t>
      </w:r>
    </w:p>
    <w:p w14:paraId="2D326EDB" w14:textId="77777777" w:rsidR="00F2223D" w:rsidRPr="006A3EED" w:rsidRDefault="00F2223D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6A3EED">
        <w:rPr>
          <w:rFonts w:ascii="Century Schoolbook" w:hAnsi="Century Schoolbook"/>
          <w:i/>
          <w:sz w:val="20"/>
          <w:szCs w:val="20"/>
        </w:rPr>
        <w:t>June 1993 – August 1993</w:t>
      </w:r>
    </w:p>
    <w:p w14:paraId="02D39B68" w14:textId="77777777" w:rsidR="00F2223D" w:rsidRPr="006A3EED" w:rsidRDefault="00F2223D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6A3EED">
        <w:rPr>
          <w:rFonts w:ascii="Century Schoolbook" w:hAnsi="Century Schoolbook"/>
          <w:sz w:val="20"/>
          <w:szCs w:val="20"/>
          <w:u w:val="single"/>
        </w:rPr>
        <w:t>Law Clerk</w:t>
      </w:r>
    </w:p>
    <w:p w14:paraId="0AFDA213" w14:textId="77777777" w:rsidR="00F2223D" w:rsidRDefault="00F2223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Researched and briefed legal issues including the fiduciary obligations of pension trustees and investors.  Answered inquiries from constituents concerning city ordinances.</w:t>
      </w:r>
    </w:p>
    <w:p w14:paraId="3F3F7CB6" w14:textId="77777777" w:rsidR="00F2223D" w:rsidRDefault="00F2223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01A0195E" w14:textId="77777777" w:rsidR="00F2223D" w:rsidRDefault="00F2223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6A3EED">
        <w:rPr>
          <w:rFonts w:ascii="Century Schoolbook" w:hAnsi="Century Schoolbook"/>
          <w:b/>
          <w:sz w:val="20"/>
          <w:szCs w:val="20"/>
        </w:rPr>
        <w:t>Kentucky State AFL</w:t>
      </w:r>
      <w:r w:rsidR="00874519" w:rsidRPr="006A3EED">
        <w:rPr>
          <w:rFonts w:ascii="Century Schoolbook" w:hAnsi="Century Schoolbook"/>
          <w:b/>
          <w:sz w:val="20"/>
          <w:szCs w:val="20"/>
        </w:rPr>
        <w:t>-CIO, Secretary/Treasurer Ron Cyrus</w:t>
      </w:r>
      <w:r w:rsidR="00874519">
        <w:rPr>
          <w:rFonts w:ascii="Century Schoolbook" w:hAnsi="Century Schoolbook"/>
          <w:sz w:val="20"/>
          <w:szCs w:val="20"/>
        </w:rPr>
        <w:t>, Frankfort, Kentucky</w:t>
      </w:r>
    </w:p>
    <w:p w14:paraId="75F9EBBC" w14:textId="77777777" w:rsidR="00874519" w:rsidRPr="006A3EED" w:rsidRDefault="00874519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6A3EED">
        <w:rPr>
          <w:rFonts w:ascii="Century Schoolbook" w:hAnsi="Century Schoolbook"/>
          <w:i/>
          <w:sz w:val="20"/>
          <w:szCs w:val="20"/>
        </w:rPr>
        <w:t>January 1992 – May 1992</w:t>
      </w:r>
    </w:p>
    <w:p w14:paraId="0FD57B2B" w14:textId="77777777" w:rsidR="00874519" w:rsidRPr="006A3EED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  <w:u w:val="single"/>
        </w:rPr>
      </w:pPr>
      <w:r w:rsidRPr="006A3EED">
        <w:rPr>
          <w:rFonts w:ascii="Century Schoolbook" w:hAnsi="Century Schoolbook"/>
          <w:sz w:val="20"/>
          <w:szCs w:val="20"/>
          <w:u w:val="single"/>
        </w:rPr>
        <w:t>Legislative Intern</w:t>
      </w:r>
    </w:p>
    <w:p w14:paraId="0BE2E6FB" w14:textId="09168625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Answer constituent’s calls.  Assist State Representative Ron Cyrus during session.</w:t>
      </w:r>
    </w:p>
    <w:p w14:paraId="4024DCF5" w14:textId="613D8096" w:rsidR="00C76DC8" w:rsidRDefault="00C76DC8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6AB8BB0B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EDUCATION</w:t>
      </w:r>
    </w:p>
    <w:p w14:paraId="4BEC93C6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4DEDF9A8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6A3EED">
        <w:rPr>
          <w:rFonts w:ascii="Century Schoolbook" w:hAnsi="Century Schoolbook"/>
          <w:b/>
          <w:sz w:val="20"/>
          <w:szCs w:val="20"/>
        </w:rPr>
        <w:t>Louis D. Brandeis School of Law, University of Louisville</w:t>
      </w:r>
      <w:r>
        <w:rPr>
          <w:rFonts w:ascii="Century Schoolbook" w:hAnsi="Century Schoolbook"/>
          <w:sz w:val="20"/>
          <w:szCs w:val="20"/>
        </w:rPr>
        <w:t>, Louisville, Kentucky</w:t>
      </w:r>
    </w:p>
    <w:p w14:paraId="3D8F7CFF" w14:textId="77777777" w:rsidR="00874519" w:rsidRPr="006A3EED" w:rsidRDefault="00874519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6A3EED">
        <w:rPr>
          <w:rFonts w:ascii="Century Schoolbook" w:hAnsi="Century Schoolbook"/>
          <w:i/>
          <w:sz w:val="20"/>
          <w:szCs w:val="20"/>
        </w:rPr>
        <w:t>May 1995</w:t>
      </w:r>
    </w:p>
    <w:p w14:paraId="44BB09BE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Juris Doctorate</w:t>
      </w:r>
    </w:p>
    <w:p w14:paraId="5671A653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Deans List:  Fall 1993, Spring 1994, Fall 1994</w:t>
      </w:r>
    </w:p>
    <w:p w14:paraId="610691FF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Jurisprudence Award:  Secured Transactions, Spring 1995</w:t>
      </w:r>
    </w:p>
    <w:p w14:paraId="541BC74A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48B9520D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6A3EED">
        <w:rPr>
          <w:rFonts w:ascii="Century Schoolbook" w:hAnsi="Century Schoolbook"/>
          <w:b/>
          <w:sz w:val="20"/>
          <w:szCs w:val="20"/>
        </w:rPr>
        <w:t>University of Kentucky</w:t>
      </w:r>
      <w:r>
        <w:rPr>
          <w:rFonts w:ascii="Century Schoolbook" w:hAnsi="Century Schoolbook"/>
          <w:sz w:val="20"/>
          <w:szCs w:val="20"/>
        </w:rPr>
        <w:t>, Lexington, Kentucky</w:t>
      </w:r>
    </w:p>
    <w:p w14:paraId="088D9358" w14:textId="77777777" w:rsidR="00874519" w:rsidRPr="006A3EED" w:rsidRDefault="00874519" w:rsidP="002D154F">
      <w:pPr>
        <w:spacing w:after="0"/>
        <w:jc w:val="both"/>
        <w:rPr>
          <w:rFonts w:ascii="Century Schoolbook" w:hAnsi="Century Schoolbook"/>
          <w:i/>
          <w:sz w:val="20"/>
          <w:szCs w:val="20"/>
        </w:rPr>
      </w:pPr>
      <w:r w:rsidRPr="006A3EED">
        <w:rPr>
          <w:rFonts w:ascii="Century Schoolbook" w:hAnsi="Century Schoolbook"/>
          <w:i/>
          <w:sz w:val="20"/>
          <w:szCs w:val="20"/>
        </w:rPr>
        <w:t>August 1992</w:t>
      </w:r>
    </w:p>
    <w:p w14:paraId="3A5A498C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Bachelor of Arts with Distinction, Political Science</w:t>
      </w:r>
    </w:p>
    <w:p w14:paraId="34C44AA4" w14:textId="77777777" w:rsidR="00874519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3777D47A" w14:textId="77777777" w:rsidR="00874519" w:rsidRPr="00F2223D" w:rsidRDefault="00874519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0B1F28DC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456F3FE9" w14:textId="77777777" w:rsidR="0060782D" w:rsidRPr="00F2223D" w:rsidRDefault="0060782D" w:rsidP="002D154F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sectPr w:rsidR="0060782D" w:rsidRPr="00F22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D"/>
    <w:rsid w:val="00145481"/>
    <w:rsid w:val="001817D3"/>
    <w:rsid w:val="001E6F00"/>
    <w:rsid w:val="0023523C"/>
    <w:rsid w:val="002373C7"/>
    <w:rsid w:val="002D154F"/>
    <w:rsid w:val="004610C0"/>
    <w:rsid w:val="00513F42"/>
    <w:rsid w:val="0060782D"/>
    <w:rsid w:val="00635ADF"/>
    <w:rsid w:val="00666466"/>
    <w:rsid w:val="006A3EED"/>
    <w:rsid w:val="006C07CA"/>
    <w:rsid w:val="007A4912"/>
    <w:rsid w:val="007C13EF"/>
    <w:rsid w:val="00870E71"/>
    <w:rsid w:val="00874519"/>
    <w:rsid w:val="00A07F89"/>
    <w:rsid w:val="00BC1C77"/>
    <w:rsid w:val="00C76DC8"/>
    <w:rsid w:val="00D73CD6"/>
    <w:rsid w:val="00F01DFD"/>
    <w:rsid w:val="00F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CD99"/>
  <w15:chartTrackingRefBased/>
  <w15:docId w15:val="{AACD75CA-7D65-4796-9924-30057CD4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95809-6081-4168-9578-5C90E000CA5C}"/>
</file>

<file path=customXml/itemProps2.xml><?xml version="1.0" encoding="utf-8"?>
<ds:datastoreItem xmlns:ds="http://schemas.openxmlformats.org/officeDocument/2006/customXml" ds:itemID="{906F70DE-E425-49F6-A575-E92B5854069F}"/>
</file>

<file path=customXml/itemProps3.xml><?xml version="1.0" encoding="utf-8"?>
<ds:datastoreItem xmlns:ds="http://schemas.openxmlformats.org/officeDocument/2006/customXml" ds:itemID="{F9EAA7CD-B590-4D76-913D-AB1EB7D19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Ison, Rachel</dc:creator>
  <cp:keywords/>
  <dc:description/>
  <cp:lastModifiedBy>Mullins, Kevin</cp:lastModifiedBy>
  <cp:revision>2</cp:revision>
  <cp:lastPrinted>2020-01-24T16:10:00Z</cp:lastPrinted>
  <dcterms:created xsi:type="dcterms:W3CDTF">2021-03-29T14:40:00Z</dcterms:created>
  <dcterms:modified xsi:type="dcterms:W3CDTF">2021-03-29T14:40:00Z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